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75AE" w14:textId="77777777" w:rsidR="00A16CCD" w:rsidRDefault="00A16CCD">
      <w:pPr>
        <w:spacing w:after="600"/>
      </w:pPr>
    </w:p>
    <w:p w14:paraId="5F0271F2" w14:textId="77777777" w:rsidR="00A16CCD" w:rsidRDefault="00000000">
      <w:pPr>
        <w:spacing w:after="80"/>
        <w:jc w:val="center"/>
      </w:pPr>
      <w:r>
        <w:rPr>
          <w:b/>
          <w:bCs/>
          <w:color w:val="1B3A6B"/>
          <w:sz w:val="52"/>
          <w:szCs w:val="52"/>
        </w:rPr>
        <w:t>MODEL DPIA FOR ORGANISATIONS</w:t>
      </w:r>
    </w:p>
    <w:p w14:paraId="7BDA33AB" w14:textId="77777777" w:rsidR="00A16CCD" w:rsidRDefault="00000000">
      <w:pPr>
        <w:spacing w:after="600"/>
        <w:jc w:val="center"/>
      </w:pPr>
      <w:r>
        <w:rPr>
          <w:color w:val="2E6DA4"/>
          <w:sz w:val="28"/>
          <w:szCs w:val="28"/>
        </w:rPr>
        <w:t>Data Protection Impact Assessment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04660173" w14:textId="77777777">
        <w:tblPrEx>
          <w:tblCellMar>
            <w:top w:w="0" w:type="dxa"/>
            <w:bottom w:w="0" w:type="dxa"/>
          </w:tblCellMar>
        </w:tblPrEx>
        <w:tc>
          <w:tcPr>
            <w:tcW w:w="9026" w:type="dxa"/>
            <w:tcBorders>
              <w:top w:val="single" w:sz="12" w:space="0" w:color="2E6DA4"/>
              <w:left w:val="none" w:sz="0" w:space="0" w:color="FFFFFF"/>
              <w:bottom w:val="single" w:sz="12" w:space="0" w:color="2E6DA4"/>
              <w:right w:val="none" w:sz="0" w:space="0" w:color="FFFFFF"/>
            </w:tcBorders>
            <w:shd w:val="clear" w:color="auto" w:fill="1B3A6B"/>
            <w:tcMar>
              <w:top w:w="300" w:type="dxa"/>
              <w:left w:w="400" w:type="dxa"/>
              <w:bottom w:w="300" w:type="dxa"/>
              <w:right w:w="400" w:type="dxa"/>
            </w:tcMar>
          </w:tcPr>
          <w:p w14:paraId="7CFD1064" w14:textId="77777777" w:rsidR="00A16CCD" w:rsidRDefault="00000000">
            <w:pPr>
              <w:jc w:val="center"/>
            </w:pPr>
            <w:r>
              <w:rPr>
                <w:b/>
                <w:bCs/>
                <w:color w:val="FFFFFF"/>
                <w:sz w:val="28"/>
                <w:szCs w:val="28"/>
              </w:rPr>
              <w:t>Conkaa Limited (Medical Tracker)</w:t>
            </w:r>
          </w:p>
          <w:p w14:paraId="136AD47A" w14:textId="77777777" w:rsidR="00A16CCD" w:rsidRDefault="00000000">
            <w:pPr>
              <w:jc w:val="center"/>
            </w:pPr>
            <w:r>
              <w:rPr>
                <w:color w:val="D6E4F0"/>
              </w:rPr>
              <w:t>25b, Cornmarket, Penrith, Cumbria, CA11 7HS</w:t>
            </w:r>
          </w:p>
        </w:tc>
      </w:tr>
    </w:tbl>
    <w:p w14:paraId="585243EF" w14:textId="77777777" w:rsidR="00A16CCD" w:rsidRDefault="00A16CCD">
      <w:pPr>
        <w:spacing w:after="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02634692"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670519A3" w14:textId="77777777" w:rsidR="00A16CCD" w:rsidRDefault="00000000">
            <w:pPr>
              <w:spacing w:after="120"/>
            </w:pPr>
            <w:r>
              <w:rPr>
                <w:b/>
                <w:bCs/>
                <w:color w:val="1B3A6B"/>
                <w:sz w:val="22"/>
                <w:szCs w:val="22"/>
              </w:rPr>
              <w:t>About This Document</w:t>
            </w:r>
          </w:p>
          <w:p w14:paraId="49B57F0C" w14:textId="77777777" w:rsidR="00A16CCD" w:rsidRDefault="00000000">
            <w:pPr>
              <w:spacing w:after="120"/>
            </w:pPr>
            <w:r>
              <w:t>This document is a model DPIA provided by Medical Tracker (Conkaa Limited) to assist organisations in completing their own Data Protection Impact Assessment for the Medical Tracker platform. It is intended as a helpful starting point and includes worked examples of lawful bases, retention periods, and security measures that are commonly applicable to organisations using the platform.</w:t>
            </w:r>
          </w:p>
          <w:p w14:paraId="52D7BA5D" w14:textId="77777777" w:rsidR="00A16CCD" w:rsidRDefault="00000000">
            <w:pPr>
              <w:spacing w:after="120"/>
            </w:pPr>
            <w:r>
              <w:t>As the Data Controller, the organisation bears full responsibility for completing and maintaining their own DPIA. Medical Tracker acts as the Data Processor. Sections relating to approval and sign-off have not been completed as these are internal matters for the organisation. Whilst the examples provided reflect common practice, organisations should review each section carefully to ensure it accurately reflects their own circumstances before finalising their DPIA.</w:t>
            </w:r>
          </w:p>
          <w:p w14:paraId="391554CE" w14:textId="77777777" w:rsidR="00A16CCD" w:rsidRDefault="00000000">
            <w:pPr>
              <w:spacing w:after="80"/>
            </w:pPr>
            <w:r>
              <w:t xml:space="preserve">A range of compliance documentation, security certifications, and helpful resources are available on the </w:t>
            </w:r>
            <w:hyperlink r:id="rId7" w:history="1">
              <w:r>
                <w:rPr>
                  <w:color w:val="2E6DA4"/>
                  <w:u w:val="single"/>
                </w:rPr>
                <w:t>Medical Tracker Getting Started page</w:t>
              </w:r>
            </w:hyperlink>
            <w:r>
              <w:t>.</w:t>
            </w:r>
          </w:p>
        </w:tc>
      </w:tr>
    </w:tbl>
    <w:p w14:paraId="3596F973" w14:textId="77777777" w:rsidR="00A16CCD" w:rsidRDefault="00A16CCD">
      <w:pPr>
        <w:spacing w:after="200"/>
      </w:pPr>
    </w:p>
    <w:p w14:paraId="7BEC8346" w14:textId="77777777" w:rsidR="00A16CCD" w:rsidRDefault="00000000">
      <w:pPr>
        <w:pStyle w:val="Heading1"/>
        <w:pBdr>
          <w:bottom w:val="single" w:sz="8" w:space="4" w:color="2E6DA4"/>
        </w:pBdr>
      </w:pPr>
      <w:r>
        <w:t>Company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318E891F"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3B7504BF" w14:textId="77777777" w:rsidR="00A16CCD" w:rsidRDefault="00000000">
            <w:r>
              <w:rPr>
                <w:b/>
                <w:bCs/>
                <w:color w:val="1B3A6B"/>
                <w:sz w:val="18"/>
                <w:szCs w:val="18"/>
              </w:rPr>
              <w:t>Name</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1343F805" w14:textId="77777777" w:rsidR="00A16CCD" w:rsidRDefault="00000000">
            <w:r>
              <w:rPr>
                <w:b/>
                <w:bCs/>
                <w:sz w:val="18"/>
                <w:szCs w:val="18"/>
              </w:rPr>
              <w:t>Conkaa Limited (Medical Tracker)</w:t>
            </w:r>
          </w:p>
        </w:tc>
      </w:tr>
    </w:tbl>
    <w:p w14:paraId="442F31AB"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4666CE3A"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61914AEE" w14:textId="77777777" w:rsidR="00A16CCD" w:rsidRDefault="00000000">
            <w:r>
              <w:rPr>
                <w:b/>
                <w:bCs/>
                <w:color w:val="1B3A6B"/>
                <w:sz w:val="18"/>
                <w:szCs w:val="18"/>
              </w:rPr>
              <w:t>Address</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1DF47630" w14:textId="77777777" w:rsidR="00A16CCD" w:rsidRDefault="00000000">
            <w:r>
              <w:rPr>
                <w:b/>
                <w:bCs/>
                <w:sz w:val="18"/>
                <w:szCs w:val="18"/>
              </w:rPr>
              <w:t>25b, Cornmarket, Penrith, Cumbria, CA11 7HS</w:t>
            </w:r>
          </w:p>
        </w:tc>
      </w:tr>
    </w:tbl>
    <w:p w14:paraId="71026926"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1DC49E75"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0488CE18" w14:textId="77777777" w:rsidR="00A16CCD" w:rsidRDefault="00000000">
            <w:r>
              <w:rPr>
                <w:b/>
                <w:bCs/>
                <w:color w:val="1B3A6B"/>
                <w:sz w:val="18"/>
                <w:szCs w:val="18"/>
              </w:rPr>
              <w:t>Phone</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0F5728CB" w14:textId="77777777" w:rsidR="00A16CCD" w:rsidRDefault="00000000">
            <w:r>
              <w:rPr>
                <w:b/>
                <w:bCs/>
                <w:sz w:val="18"/>
                <w:szCs w:val="18"/>
              </w:rPr>
              <w:t>020 3868 0776</w:t>
            </w:r>
          </w:p>
        </w:tc>
      </w:tr>
    </w:tbl>
    <w:p w14:paraId="1AFFB683"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6146550F"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5F09886B" w14:textId="77777777" w:rsidR="00A16CCD" w:rsidRDefault="00000000">
            <w:r>
              <w:rPr>
                <w:b/>
                <w:bCs/>
                <w:color w:val="1B3A6B"/>
                <w:sz w:val="18"/>
                <w:szCs w:val="18"/>
              </w:rPr>
              <w:t>Website</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0BC35FFE" w14:textId="77777777" w:rsidR="00A16CCD" w:rsidRDefault="00000000">
            <w:r>
              <w:rPr>
                <w:b/>
                <w:bCs/>
                <w:sz w:val="18"/>
                <w:szCs w:val="18"/>
              </w:rPr>
              <w:t>www.medicaltracker.co.uk</w:t>
            </w:r>
          </w:p>
        </w:tc>
      </w:tr>
    </w:tbl>
    <w:p w14:paraId="623A0CB8"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7B2C00EC"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6806DABD" w14:textId="77777777" w:rsidR="00A16CCD" w:rsidRDefault="00000000">
            <w:r>
              <w:rPr>
                <w:b/>
                <w:bCs/>
                <w:color w:val="1B3A6B"/>
                <w:sz w:val="18"/>
                <w:szCs w:val="18"/>
              </w:rPr>
              <w:t>Company Registration</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6A027414" w14:textId="77777777" w:rsidR="00A16CCD" w:rsidRDefault="00000000">
            <w:r>
              <w:rPr>
                <w:b/>
                <w:bCs/>
                <w:sz w:val="18"/>
                <w:szCs w:val="18"/>
              </w:rPr>
              <w:t>10253269</w:t>
            </w:r>
          </w:p>
        </w:tc>
      </w:tr>
    </w:tbl>
    <w:p w14:paraId="622C5FE2"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5B452073"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5B674E92" w14:textId="77777777" w:rsidR="00A16CCD" w:rsidRDefault="00000000">
            <w:r>
              <w:rPr>
                <w:b/>
                <w:bCs/>
                <w:color w:val="1B3A6B"/>
                <w:sz w:val="18"/>
                <w:szCs w:val="18"/>
              </w:rPr>
              <w:t>ICO</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253E1F57" w14:textId="77777777" w:rsidR="00A16CCD" w:rsidRDefault="00000000">
            <w:r>
              <w:rPr>
                <w:b/>
                <w:bCs/>
                <w:sz w:val="18"/>
                <w:szCs w:val="18"/>
              </w:rPr>
              <w:t>ZA509399</w:t>
            </w:r>
          </w:p>
        </w:tc>
      </w:tr>
    </w:tbl>
    <w:p w14:paraId="05FABF70"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1B3D4240"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7F8ECF20" w14:textId="77777777" w:rsidR="00A16CCD" w:rsidRDefault="00000000">
            <w:r>
              <w:rPr>
                <w:b/>
                <w:bCs/>
                <w:color w:val="1B3A6B"/>
                <w:sz w:val="18"/>
                <w:szCs w:val="18"/>
              </w:rPr>
              <w:lastRenderedPageBreak/>
              <w:t>ISO 27001</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24ACFB9B" w14:textId="77777777" w:rsidR="00A16CCD" w:rsidRDefault="00000000">
            <w:r>
              <w:rPr>
                <w:b/>
                <w:bCs/>
                <w:sz w:val="18"/>
                <w:szCs w:val="18"/>
              </w:rPr>
              <w:t>398492022</w:t>
            </w:r>
          </w:p>
        </w:tc>
      </w:tr>
    </w:tbl>
    <w:p w14:paraId="18235C08"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3B92524B"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1F8E5D06" w14:textId="77777777" w:rsidR="00A16CCD" w:rsidRDefault="00000000">
            <w:r>
              <w:rPr>
                <w:b/>
                <w:bCs/>
                <w:color w:val="1B3A6B"/>
                <w:sz w:val="18"/>
                <w:szCs w:val="18"/>
              </w:rPr>
              <w:t>DPO</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339378E9" w14:textId="77777777" w:rsidR="00A16CCD" w:rsidRDefault="00000000">
            <w:r>
              <w:rPr>
                <w:b/>
                <w:bCs/>
                <w:sz w:val="18"/>
                <w:szCs w:val="18"/>
              </w:rPr>
              <w:t>Katie Venditti</w:t>
            </w:r>
          </w:p>
        </w:tc>
      </w:tr>
    </w:tbl>
    <w:p w14:paraId="776BE44E"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0E1829A0"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0122751B" w14:textId="77777777" w:rsidR="00A16CCD" w:rsidRDefault="00000000">
            <w:r>
              <w:rPr>
                <w:b/>
                <w:bCs/>
                <w:color w:val="1B3A6B"/>
                <w:sz w:val="18"/>
                <w:szCs w:val="18"/>
              </w:rPr>
              <w:t>DPO Email</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21F34E86" w14:textId="77777777" w:rsidR="00A16CCD" w:rsidRDefault="00000000">
            <w:r>
              <w:rPr>
                <w:b/>
                <w:bCs/>
                <w:sz w:val="18"/>
                <w:szCs w:val="18"/>
              </w:rPr>
              <w:t>dpo@medicaltracker.co.uk</w:t>
            </w:r>
          </w:p>
        </w:tc>
      </w:tr>
    </w:tbl>
    <w:p w14:paraId="50018DEB"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1F8B43DF"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66AE47B3" w14:textId="77777777" w:rsidR="00A16CCD" w:rsidRDefault="00000000">
            <w:r>
              <w:rPr>
                <w:b/>
                <w:bCs/>
                <w:color w:val="1B3A6B"/>
                <w:sz w:val="18"/>
                <w:szCs w:val="18"/>
              </w:rPr>
              <w:t>Sales Email</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47017FA9" w14:textId="77777777" w:rsidR="00A16CCD" w:rsidRDefault="00000000">
            <w:r>
              <w:rPr>
                <w:b/>
                <w:bCs/>
                <w:sz w:val="18"/>
                <w:szCs w:val="18"/>
              </w:rPr>
              <w:t>sales@medicaltracker.co.uk</w:t>
            </w:r>
          </w:p>
        </w:tc>
      </w:tr>
    </w:tbl>
    <w:p w14:paraId="3CB794CF"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6E2E23CC"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69D49806" w14:textId="77777777" w:rsidR="00A16CCD" w:rsidRDefault="00000000">
            <w:r>
              <w:rPr>
                <w:b/>
                <w:bCs/>
                <w:color w:val="1B3A6B"/>
                <w:sz w:val="18"/>
                <w:szCs w:val="18"/>
              </w:rPr>
              <w:t>Support Email</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1BD8FB51" w14:textId="77777777" w:rsidR="00A16CCD" w:rsidRDefault="00000000">
            <w:r>
              <w:rPr>
                <w:b/>
                <w:bCs/>
                <w:sz w:val="18"/>
                <w:szCs w:val="18"/>
              </w:rPr>
              <w:t>support@medicaltracker.co.uk</w:t>
            </w:r>
          </w:p>
        </w:tc>
      </w:tr>
    </w:tbl>
    <w:p w14:paraId="7B202CFC" w14:textId="77777777" w:rsidR="00A16CCD" w:rsidRDefault="00A16CCD">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A16CCD" w14:paraId="33A00748" w14:textId="77777777">
        <w:tblPrEx>
          <w:tblCellMar>
            <w:top w:w="0" w:type="dxa"/>
            <w:bottom w:w="0" w:type="dxa"/>
          </w:tblCellMar>
        </w:tblPrEx>
        <w:tc>
          <w:tcPr>
            <w:tcW w:w="24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1C6AC4B2" w14:textId="77777777" w:rsidR="00A16CCD" w:rsidRDefault="00000000">
            <w:r>
              <w:rPr>
                <w:b/>
                <w:bCs/>
                <w:color w:val="1B3A6B"/>
                <w:sz w:val="18"/>
                <w:szCs w:val="18"/>
              </w:rPr>
              <w:t>Finance Email</w:t>
            </w:r>
          </w:p>
        </w:tc>
        <w:tc>
          <w:tcPr>
            <w:tcW w:w="6626" w:type="dxa"/>
            <w:tcBorders>
              <w:top w:val="single" w:sz="1" w:space="0" w:color="E0E6ED"/>
              <w:left w:val="single" w:sz="1" w:space="0" w:color="E0E6ED"/>
              <w:bottom w:val="single" w:sz="1" w:space="0" w:color="E0E6ED"/>
              <w:right w:val="single" w:sz="1" w:space="0" w:color="E0E6ED"/>
            </w:tcBorders>
            <w:tcMar>
              <w:top w:w="80" w:type="dxa"/>
              <w:left w:w="120" w:type="dxa"/>
              <w:bottom w:w="80" w:type="dxa"/>
              <w:right w:w="120" w:type="dxa"/>
            </w:tcMar>
          </w:tcPr>
          <w:p w14:paraId="4708B1F6" w14:textId="77777777" w:rsidR="00A16CCD" w:rsidRDefault="00000000">
            <w:r>
              <w:rPr>
                <w:b/>
                <w:bCs/>
                <w:sz w:val="18"/>
                <w:szCs w:val="18"/>
              </w:rPr>
              <w:t>finance@medicaltracker.co.uk</w:t>
            </w:r>
          </w:p>
        </w:tc>
      </w:tr>
    </w:tbl>
    <w:p w14:paraId="1D4411A0" w14:textId="77777777" w:rsidR="00A16CCD" w:rsidRDefault="00A16CCD">
      <w:pPr>
        <w:spacing w:after="200"/>
      </w:pPr>
    </w:p>
    <w:p w14:paraId="5764F101" w14:textId="77777777" w:rsidR="00A16CCD" w:rsidRDefault="00000000">
      <w:r>
        <w:br w:type="page"/>
      </w:r>
    </w:p>
    <w:p w14:paraId="567E90F3" w14:textId="77777777" w:rsidR="00A16CCD" w:rsidRDefault="00000000">
      <w:pPr>
        <w:pStyle w:val="Heading1"/>
        <w:pBdr>
          <w:bottom w:val="single" w:sz="8" w:space="4" w:color="2E6DA4"/>
        </w:pBdr>
      </w:pPr>
      <w:r>
        <w:lastRenderedPageBreak/>
        <w:t>Step 1: Identify the Need for a DPIA</w:t>
      </w:r>
    </w:p>
    <w:p w14:paraId="508B8F18" w14:textId="77777777" w:rsidR="00A16CCD" w:rsidRDefault="00000000">
      <w:pPr>
        <w:spacing w:before="80" w:after="80"/>
      </w:pPr>
      <w:r>
        <w:rPr>
          <w:b/>
          <w:bCs/>
          <w:color w:val="1B3A6B"/>
        </w:rPr>
        <w:t xml:space="preserve">Describe the purpose of the project and the type of processing </w:t>
      </w:r>
      <w:proofErr w:type="gramStart"/>
      <w:r>
        <w:rPr>
          <w:b/>
          <w:bCs/>
          <w:color w:val="1B3A6B"/>
        </w:rPr>
        <w:t>involved, and</w:t>
      </w:r>
      <w:proofErr w:type="gramEnd"/>
      <w:r>
        <w:rPr>
          <w:b/>
          <w:bCs/>
          <w:color w:val="1B3A6B"/>
        </w:rPr>
        <w:t xml:space="preserve"> explain why a DPIA is required.</w:t>
      </w:r>
    </w:p>
    <w:p w14:paraId="14FD7D3D"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145F929B"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5BBA47C1" w14:textId="77777777" w:rsidR="00A16CCD" w:rsidRDefault="00000000">
            <w:pPr>
              <w:spacing w:after="80"/>
            </w:pPr>
            <w:r>
              <w:t xml:space="preserve">The project is the deployment of the Medical Tracker platform to record, track, and manage student, staff and visitor health. The project will necessarily require the processing of special categories of data (health including disability) including that regarding persons under the age of 18. As the processing is more than occasional or incidental, the completion of a DPIA is required </w:t>
            </w:r>
            <w:proofErr w:type="gramStart"/>
            <w:r>
              <w:t>in order to</w:t>
            </w:r>
            <w:proofErr w:type="gramEnd"/>
            <w:r>
              <w:t xml:space="preserve"> ensure data protection by design and by default, that risks are assessed and managed, and that the processing is lawful, fair, and transparent.</w:t>
            </w:r>
          </w:p>
        </w:tc>
      </w:tr>
    </w:tbl>
    <w:p w14:paraId="3187EF78" w14:textId="77777777" w:rsidR="00A16CCD" w:rsidRDefault="00A16CCD">
      <w:pPr>
        <w:spacing w:after="200"/>
      </w:pPr>
    </w:p>
    <w:p w14:paraId="46FA9A0C" w14:textId="77777777" w:rsidR="00A16CCD" w:rsidRDefault="00000000">
      <w:pPr>
        <w:pStyle w:val="Heading1"/>
        <w:pBdr>
          <w:bottom w:val="single" w:sz="8" w:space="4" w:color="2E6DA4"/>
        </w:pBdr>
      </w:pPr>
      <w:r>
        <w:t>Step 2: Describe the Processing</w:t>
      </w:r>
    </w:p>
    <w:p w14:paraId="16F494D4" w14:textId="77777777" w:rsidR="00A16CCD" w:rsidRDefault="00000000">
      <w:pPr>
        <w:pStyle w:val="Heading2"/>
      </w:pPr>
      <w:r>
        <w:t>Nature of the Processing</w:t>
      </w:r>
    </w:p>
    <w:p w14:paraId="3FFE5405" w14:textId="77777777" w:rsidR="00A16CCD" w:rsidRDefault="00000000">
      <w:pPr>
        <w:spacing w:before="80" w:after="80"/>
      </w:pPr>
      <w:r>
        <w:rPr>
          <w:b/>
          <w:bCs/>
          <w:color w:val="1B3A6B"/>
        </w:rPr>
        <w:t>Describe how data will be collected, used, stored and deleted, including the source of the data, whether it will be shared, and any high-risk processing involved.</w:t>
      </w:r>
    </w:p>
    <w:p w14:paraId="1AEA16D7"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49B7010D"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217AF379" w14:textId="77777777" w:rsidR="00A16CCD" w:rsidRDefault="00000000">
            <w:pPr>
              <w:spacing w:after="100"/>
            </w:pPr>
            <w:r>
              <w:t>The organisation is the Data Controller for all personal data processed through the Medical Tracker platform. Medical Tracker (Conkaa Limited) acts as the Data Processor, processing data only for the purposes for which the organisation has engaged Medical Tracker, as set out in the Terms of Service. As Data Controller, the organisation is responsible for ensuring the lawfulness of the processing, compliance with data subject rights, and adherence to their own retention schedules.</w:t>
            </w:r>
          </w:p>
          <w:p w14:paraId="04DB39BC" w14:textId="77777777" w:rsidR="00A16CCD" w:rsidRDefault="00000000">
            <w:pPr>
              <w:spacing w:after="100"/>
            </w:pPr>
            <w:r>
              <w:t xml:space="preserve">The processing involves the recording and management of student, staff, visitor and parent/carer data by the organisation. Medical Tracker links to the organisation’s MIS through an intermediary company (Wonde or </w:t>
            </w:r>
            <w:proofErr w:type="spellStart"/>
            <w:r>
              <w:t>Xporter</w:t>
            </w:r>
            <w:proofErr w:type="spellEnd"/>
            <w:r>
              <w:t>), pulling data through regularly to ensure the information is current. In addition, staff will input data directly into the platform. Data held in the MIS was originally obtained through parents and guardians of students, the students themselves, and from other professionals. As the data is owned by the organisation, the organisation will decide who to share the data with.</w:t>
            </w:r>
          </w:p>
          <w:p w14:paraId="69428D6D" w14:textId="77777777" w:rsidR="00A16CCD" w:rsidRDefault="00000000">
            <w:pPr>
              <w:spacing w:after="100"/>
            </w:pPr>
            <w:r>
              <w:t xml:space="preserve">Medical Tracker works with </w:t>
            </w:r>
            <w:proofErr w:type="gramStart"/>
            <w:r>
              <w:t>a number of</w:t>
            </w:r>
            <w:proofErr w:type="gramEnd"/>
            <w:r>
              <w:t xml:space="preserve"> thoroughly vetted third-party sub-processors to deliver the platform. A full list is available on the </w:t>
            </w:r>
            <w:hyperlink r:id="rId8" w:history="1">
              <w:r>
                <w:rPr>
                  <w:color w:val="2E6DA4"/>
                  <w:u w:val="single"/>
                </w:rPr>
                <w:t>Medical Tracker website</w:t>
              </w:r>
            </w:hyperlink>
            <w:r>
              <w:t xml:space="preserve">. Please note that not all sub-processors listed are relevant to all organisations. All sub-processors are subject to Non-Disclosure Agreements and follow the highest security protocols. Sub-processors retain data in line with the Medical Tracker </w:t>
            </w:r>
            <w:hyperlink r:id="rId9" w:history="1">
              <w:r>
                <w:rPr>
                  <w:color w:val="2E6DA4"/>
                  <w:u w:val="single"/>
                </w:rPr>
                <w:t>Back Up Policy</w:t>
              </w:r>
            </w:hyperlink>
            <w:r>
              <w:t>.</w:t>
            </w:r>
          </w:p>
          <w:p w14:paraId="39388E47" w14:textId="77777777" w:rsidR="00A16CCD" w:rsidRDefault="00000000">
            <w:pPr>
              <w:spacing w:after="100"/>
            </w:pPr>
            <w:r>
              <w:t xml:space="preserve">Data is encrypted in transit and at rest using industry standards and best practice. The organisation is responsible for deleting data in line with their retention </w:t>
            </w:r>
            <w:proofErr w:type="gramStart"/>
            <w:r>
              <w:t>schedule, and</w:t>
            </w:r>
            <w:proofErr w:type="gramEnd"/>
            <w:r>
              <w:t xml:space="preserve"> </w:t>
            </w:r>
            <w:proofErr w:type="gramStart"/>
            <w:r>
              <w:t>retains control over the data at all times</w:t>
            </w:r>
            <w:proofErr w:type="gramEnd"/>
            <w:r>
              <w:t>. Data is stored on servers in the UK. Medical Tracker holds ISO 27001 certification, demonstrating its commitment to information security. All staff undergo regular training. Those who joined before May 2023 hold a DBS check, and those who joined after that date hold a BPSS check, which includes a DBS check.</w:t>
            </w:r>
          </w:p>
        </w:tc>
      </w:tr>
    </w:tbl>
    <w:p w14:paraId="0CB01F9A" w14:textId="77777777" w:rsidR="00A16CCD" w:rsidRDefault="00A16CCD">
      <w:pPr>
        <w:spacing w:after="160"/>
      </w:pPr>
    </w:p>
    <w:p w14:paraId="5BB8FC2F" w14:textId="77777777" w:rsidR="00A16CCD" w:rsidRDefault="00000000">
      <w:pPr>
        <w:pStyle w:val="Heading2"/>
      </w:pPr>
      <w:r>
        <w:t>Scope of the Processing</w:t>
      </w:r>
    </w:p>
    <w:p w14:paraId="62AF7B7A" w14:textId="77777777" w:rsidR="00A16CCD" w:rsidRDefault="00000000">
      <w:pPr>
        <w:spacing w:before="80" w:after="80"/>
      </w:pPr>
      <w:r>
        <w:rPr>
          <w:b/>
          <w:bCs/>
          <w:color w:val="1B3A6B"/>
        </w:rPr>
        <w:t>Describe the categories of data being processed, including whether it includes special category or criminal offence data, how long it will be retained, and who is affected.</w:t>
      </w:r>
    </w:p>
    <w:p w14:paraId="0120E073"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1596E806"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654F492F" w14:textId="77777777" w:rsidR="00A16CCD" w:rsidRDefault="00000000">
            <w:pPr>
              <w:spacing w:after="100"/>
            </w:pPr>
            <w:r>
              <w:lastRenderedPageBreak/>
              <w:t xml:space="preserve">The following provides an indication of the fields that may be processed through the Medical Tracker platform and is not exhaustive. Some fields are pulled automatically from the organisation’s MIS via Wonde or </w:t>
            </w:r>
            <w:proofErr w:type="spellStart"/>
            <w:r>
              <w:t>Xporter</w:t>
            </w:r>
            <w:proofErr w:type="spellEnd"/>
            <w:r>
              <w:t>, whilst others are entered manually by staff. The exact fields available via MIS sync will vary depending on the organisation’s MIS and which integration is used.</w:t>
            </w:r>
          </w:p>
          <w:p w14:paraId="2DB76CC3" w14:textId="77777777" w:rsidR="00A16CCD" w:rsidRDefault="00000000">
            <w:pPr>
              <w:spacing w:before="100" w:after="60"/>
            </w:pPr>
            <w:r>
              <w:rPr>
                <w:b/>
                <w:bCs/>
                <w:color w:val="1B3A6B"/>
              </w:rPr>
              <w:t>Staff</w:t>
            </w:r>
          </w:p>
          <w:p w14:paraId="70D44E3A" w14:textId="77777777" w:rsidR="00A16CCD" w:rsidRDefault="00000000">
            <w:pPr>
              <w:pStyle w:val="ListParagraph"/>
              <w:numPr>
                <w:ilvl w:val="0"/>
                <w:numId w:val="2"/>
              </w:numPr>
              <w:spacing w:before="40" w:after="40"/>
            </w:pPr>
            <w:r>
              <w:t>Staff ID, title, first name, last name and legal name</w:t>
            </w:r>
          </w:p>
          <w:p w14:paraId="1BC9FBA9" w14:textId="77777777" w:rsidR="00A16CCD" w:rsidRDefault="00000000">
            <w:pPr>
              <w:pStyle w:val="ListParagraph"/>
              <w:numPr>
                <w:ilvl w:val="0"/>
                <w:numId w:val="2"/>
              </w:numPr>
              <w:spacing w:before="40" w:after="40"/>
            </w:pPr>
            <w:r>
              <w:t>Staff email address</w:t>
            </w:r>
          </w:p>
          <w:p w14:paraId="2EC84E26" w14:textId="77777777" w:rsidR="00A16CCD" w:rsidRDefault="00000000">
            <w:pPr>
              <w:pStyle w:val="ListParagraph"/>
              <w:numPr>
                <w:ilvl w:val="0"/>
                <w:numId w:val="2"/>
              </w:numPr>
              <w:spacing w:before="40" w:after="40"/>
            </w:pPr>
            <w:r>
              <w:t>Date of birth</w:t>
            </w:r>
          </w:p>
          <w:p w14:paraId="556AD3C8" w14:textId="77777777" w:rsidR="00A16CCD" w:rsidRDefault="00000000">
            <w:pPr>
              <w:pStyle w:val="ListParagraph"/>
              <w:numPr>
                <w:ilvl w:val="0"/>
                <w:numId w:val="2"/>
              </w:numPr>
              <w:spacing w:before="40" w:after="40"/>
            </w:pPr>
            <w:r>
              <w:t>If current member of staff</w:t>
            </w:r>
          </w:p>
          <w:p w14:paraId="7E4B8089" w14:textId="77777777" w:rsidR="00A16CCD" w:rsidRDefault="00000000">
            <w:pPr>
              <w:pStyle w:val="ListParagraph"/>
              <w:numPr>
                <w:ilvl w:val="0"/>
                <w:numId w:val="2"/>
              </w:numPr>
              <w:spacing w:before="40" w:after="40"/>
            </w:pPr>
            <w:r>
              <w:t>Staff photo (optional)</w:t>
            </w:r>
          </w:p>
          <w:p w14:paraId="318F02A7" w14:textId="77777777" w:rsidR="00A16CCD" w:rsidRDefault="00000000">
            <w:pPr>
              <w:pStyle w:val="ListParagraph"/>
              <w:numPr>
                <w:ilvl w:val="0"/>
                <w:numId w:val="2"/>
              </w:numPr>
              <w:spacing w:before="40" w:after="40"/>
            </w:pPr>
            <w:r>
              <w:t>Staff role (optional)</w:t>
            </w:r>
          </w:p>
          <w:p w14:paraId="5665964F" w14:textId="77777777" w:rsidR="00A16CCD" w:rsidRDefault="00000000">
            <w:pPr>
              <w:pStyle w:val="ListParagraph"/>
              <w:numPr>
                <w:ilvl w:val="0"/>
                <w:numId w:val="2"/>
              </w:numPr>
              <w:spacing w:before="40" w:after="40"/>
            </w:pPr>
            <w:r>
              <w:t xml:space="preserve">Employment </w:t>
            </w:r>
            <w:proofErr w:type="gramStart"/>
            <w:r>
              <w:t>start</w:t>
            </w:r>
            <w:proofErr w:type="gramEnd"/>
            <w:r>
              <w:t xml:space="preserve"> and end dates (optional)</w:t>
            </w:r>
          </w:p>
          <w:p w14:paraId="12444625" w14:textId="77777777" w:rsidR="00A16CCD" w:rsidRDefault="00000000">
            <w:pPr>
              <w:spacing w:before="100" w:after="60"/>
            </w:pPr>
            <w:r>
              <w:rPr>
                <w:b/>
                <w:bCs/>
                <w:color w:val="1B3A6B"/>
              </w:rPr>
              <w:t>Students</w:t>
            </w:r>
          </w:p>
          <w:p w14:paraId="6043AD11" w14:textId="77777777" w:rsidR="00A16CCD" w:rsidRDefault="00000000">
            <w:pPr>
              <w:pStyle w:val="ListParagraph"/>
              <w:numPr>
                <w:ilvl w:val="0"/>
                <w:numId w:val="2"/>
              </w:numPr>
              <w:spacing w:before="40" w:after="40"/>
            </w:pPr>
            <w:r>
              <w:t>Name (including legal name), date of birth, gender</w:t>
            </w:r>
          </w:p>
          <w:p w14:paraId="1F5344C9" w14:textId="77777777" w:rsidR="00A16CCD" w:rsidRDefault="00000000">
            <w:pPr>
              <w:pStyle w:val="ListParagraph"/>
              <w:numPr>
                <w:ilvl w:val="0"/>
                <w:numId w:val="2"/>
              </w:numPr>
              <w:spacing w:before="40" w:after="40"/>
            </w:pPr>
            <w:r>
              <w:t>Address and photograph</w:t>
            </w:r>
          </w:p>
          <w:p w14:paraId="5882A42A" w14:textId="77777777" w:rsidR="00A16CCD" w:rsidRDefault="00000000">
            <w:pPr>
              <w:pStyle w:val="ListParagraph"/>
              <w:numPr>
                <w:ilvl w:val="0"/>
                <w:numId w:val="2"/>
              </w:numPr>
              <w:spacing w:before="40" w:after="40"/>
            </w:pPr>
            <w:r>
              <w:t>Admission date and leaving date</w:t>
            </w:r>
          </w:p>
          <w:p w14:paraId="26E0D499" w14:textId="77777777" w:rsidR="00A16CCD" w:rsidRDefault="00000000">
            <w:pPr>
              <w:pStyle w:val="ListParagraph"/>
              <w:numPr>
                <w:ilvl w:val="0"/>
                <w:numId w:val="2"/>
              </w:numPr>
              <w:spacing w:before="40" w:after="40"/>
            </w:pPr>
            <w:r>
              <w:t>UPN and other identifiers</w:t>
            </w:r>
          </w:p>
          <w:p w14:paraId="1A48B64B" w14:textId="77777777" w:rsidR="00A16CCD" w:rsidRDefault="00000000">
            <w:pPr>
              <w:pStyle w:val="ListParagraph"/>
              <w:numPr>
                <w:ilvl w:val="0"/>
                <w:numId w:val="2"/>
              </w:numPr>
              <w:spacing w:before="40" w:after="40"/>
            </w:pPr>
            <w:r>
              <w:t>Current NC Year / Class</w:t>
            </w:r>
          </w:p>
          <w:p w14:paraId="72862460" w14:textId="77777777" w:rsidR="00A16CCD" w:rsidRDefault="00000000">
            <w:pPr>
              <w:pStyle w:val="ListParagraph"/>
              <w:numPr>
                <w:ilvl w:val="0"/>
                <w:numId w:val="2"/>
              </w:numPr>
              <w:spacing w:before="40" w:after="40"/>
            </w:pPr>
            <w:r>
              <w:t>Medical conditions (including severity, symptoms, treatment, triggers and care plans)</w:t>
            </w:r>
          </w:p>
          <w:p w14:paraId="1F2E5B82" w14:textId="77777777" w:rsidR="00A16CCD" w:rsidRDefault="00000000">
            <w:pPr>
              <w:pStyle w:val="ListParagraph"/>
              <w:numPr>
                <w:ilvl w:val="0"/>
                <w:numId w:val="2"/>
              </w:numPr>
              <w:spacing w:before="40" w:after="40"/>
            </w:pPr>
            <w:r>
              <w:t>Dietary details (including allergy-related information)</w:t>
            </w:r>
          </w:p>
          <w:p w14:paraId="50793B9B" w14:textId="77777777" w:rsidR="00A16CCD" w:rsidRDefault="00000000">
            <w:pPr>
              <w:pStyle w:val="ListParagraph"/>
              <w:numPr>
                <w:ilvl w:val="0"/>
                <w:numId w:val="2"/>
              </w:numPr>
              <w:spacing w:before="40" w:after="40"/>
            </w:pPr>
            <w:r>
              <w:t>GP details (only available for some MIS / processor combinations)</w:t>
            </w:r>
          </w:p>
          <w:p w14:paraId="55F077AF" w14:textId="77777777" w:rsidR="00A16CCD" w:rsidRDefault="00000000">
            <w:pPr>
              <w:pStyle w:val="ListParagraph"/>
              <w:numPr>
                <w:ilvl w:val="0"/>
                <w:numId w:val="2"/>
              </w:numPr>
              <w:spacing w:before="40" w:after="40"/>
            </w:pPr>
            <w:r>
              <w:t>Leaver data (retained to support compliance with the organisation’s retention policy)</w:t>
            </w:r>
          </w:p>
          <w:p w14:paraId="052C4E44" w14:textId="77777777" w:rsidR="00A16CCD" w:rsidRDefault="00000000">
            <w:pPr>
              <w:pStyle w:val="ListParagraph"/>
              <w:numPr>
                <w:ilvl w:val="0"/>
                <w:numId w:val="2"/>
              </w:numPr>
              <w:spacing w:before="40" w:after="40"/>
            </w:pPr>
            <w:r>
              <w:t>Student telephone and email address (optional)</w:t>
            </w:r>
          </w:p>
          <w:p w14:paraId="0FC34A71" w14:textId="77777777" w:rsidR="00A16CCD" w:rsidRDefault="00000000">
            <w:pPr>
              <w:pStyle w:val="ListParagraph"/>
              <w:numPr>
                <w:ilvl w:val="0"/>
                <w:numId w:val="2"/>
              </w:numPr>
              <w:spacing w:before="40" w:after="40"/>
            </w:pPr>
            <w:r>
              <w:t>Demographics e.g. Pupil Premium, LAC (optional)</w:t>
            </w:r>
          </w:p>
          <w:p w14:paraId="520B8C51" w14:textId="77777777" w:rsidR="00A16CCD" w:rsidRDefault="00000000">
            <w:pPr>
              <w:pStyle w:val="ListParagraph"/>
              <w:numPr>
                <w:ilvl w:val="0"/>
                <w:numId w:val="2"/>
              </w:numPr>
              <w:spacing w:before="40" w:after="40"/>
            </w:pPr>
            <w:r>
              <w:t>Pre-admission data (optional) – allows medical records to be prepared before a child formally joins the organisation</w:t>
            </w:r>
          </w:p>
          <w:p w14:paraId="2012F344" w14:textId="77777777" w:rsidR="00A16CCD" w:rsidRDefault="00000000">
            <w:pPr>
              <w:spacing w:before="100" w:after="60"/>
            </w:pPr>
            <w:r>
              <w:rPr>
                <w:b/>
                <w:bCs/>
                <w:color w:val="1B3A6B"/>
              </w:rPr>
              <w:t>Parents / Guardians</w:t>
            </w:r>
          </w:p>
          <w:p w14:paraId="120B4A81" w14:textId="77777777" w:rsidR="00A16CCD" w:rsidRDefault="00000000">
            <w:pPr>
              <w:pStyle w:val="ListParagraph"/>
              <w:numPr>
                <w:ilvl w:val="0"/>
                <w:numId w:val="2"/>
              </w:numPr>
              <w:spacing w:before="40" w:after="40"/>
            </w:pPr>
            <w:r>
              <w:t>Name, email address, mobile number and address</w:t>
            </w:r>
          </w:p>
          <w:p w14:paraId="5635DF53" w14:textId="77777777" w:rsidR="00A16CCD" w:rsidRDefault="00000000">
            <w:pPr>
              <w:pStyle w:val="ListParagraph"/>
              <w:numPr>
                <w:ilvl w:val="0"/>
                <w:numId w:val="2"/>
              </w:numPr>
              <w:spacing w:before="40" w:after="40"/>
            </w:pPr>
            <w:r>
              <w:t>Relationship to pupil and if they have parental responsibility</w:t>
            </w:r>
          </w:p>
          <w:p w14:paraId="6BC55049" w14:textId="77777777" w:rsidR="00A16CCD" w:rsidRDefault="00000000">
            <w:pPr>
              <w:pStyle w:val="ListParagraph"/>
              <w:numPr>
                <w:ilvl w:val="0"/>
                <w:numId w:val="2"/>
              </w:numPr>
              <w:spacing w:before="40" w:after="40"/>
            </w:pPr>
            <w:r>
              <w:t>Priority contact (only available for some MIS / processor combinations)</w:t>
            </w:r>
          </w:p>
          <w:p w14:paraId="0BA5F842" w14:textId="77777777" w:rsidR="00A16CCD" w:rsidRDefault="00000000">
            <w:pPr>
              <w:pStyle w:val="ListParagraph"/>
              <w:numPr>
                <w:ilvl w:val="0"/>
                <w:numId w:val="2"/>
              </w:numPr>
              <w:spacing w:before="40" w:after="40"/>
            </w:pPr>
            <w:r>
              <w:t>Court order</w:t>
            </w:r>
          </w:p>
          <w:p w14:paraId="7931B97D" w14:textId="77777777" w:rsidR="00A16CCD" w:rsidRDefault="00000000">
            <w:pPr>
              <w:pStyle w:val="ListParagraph"/>
              <w:numPr>
                <w:ilvl w:val="0"/>
                <w:numId w:val="2"/>
              </w:numPr>
              <w:spacing w:before="40" w:after="40"/>
            </w:pPr>
            <w:r>
              <w:t>Communication preferences</w:t>
            </w:r>
          </w:p>
          <w:p w14:paraId="03A5F57D" w14:textId="77777777" w:rsidR="00A16CCD" w:rsidRDefault="00000000">
            <w:pPr>
              <w:spacing w:before="100" w:after="60"/>
            </w:pPr>
            <w:r>
              <w:rPr>
                <w:b/>
                <w:bCs/>
                <w:color w:val="1B3A6B"/>
              </w:rPr>
              <w:t>Visitors (manual input)</w:t>
            </w:r>
          </w:p>
          <w:p w14:paraId="10C7604E" w14:textId="77777777" w:rsidR="00A16CCD" w:rsidRDefault="00000000">
            <w:pPr>
              <w:pStyle w:val="ListParagraph"/>
              <w:numPr>
                <w:ilvl w:val="0"/>
                <w:numId w:val="2"/>
              </w:numPr>
              <w:spacing w:before="40" w:after="40"/>
            </w:pPr>
            <w:r>
              <w:t>Name, email address, address, gender, date of birth and telephone number</w:t>
            </w:r>
          </w:p>
          <w:p w14:paraId="4BC64409" w14:textId="77777777" w:rsidR="00A16CCD" w:rsidRDefault="00000000">
            <w:pPr>
              <w:pStyle w:val="ListParagraph"/>
              <w:numPr>
                <w:ilvl w:val="0"/>
                <w:numId w:val="2"/>
              </w:numPr>
              <w:spacing w:before="40" w:after="40"/>
            </w:pPr>
            <w:r>
              <w:t>Company name</w:t>
            </w:r>
          </w:p>
          <w:p w14:paraId="102CF3D9" w14:textId="77777777" w:rsidR="00A16CCD" w:rsidRDefault="00000000">
            <w:pPr>
              <w:pStyle w:val="ListParagraph"/>
              <w:numPr>
                <w:ilvl w:val="0"/>
                <w:numId w:val="2"/>
              </w:numPr>
              <w:spacing w:before="40" w:after="40"/>
            </w:pPr>
            <w:r>
              <w:t>Details of any incident they were involved in</w:t>
            </w:r>
          </w:p>
          <w:p w14:paraId="279398DC" w14:textId="77777777" w:rsidR="00A16CCD" w:rsidRDefault="00A16CCD">
            <w:pPr>
              <w:spacing w:after="100"/>
            </w:pPr>
          </w:p>
          <w:p w14:paraId="645BFF45" w14:textId="77777777" w:rsidR="00A16CCD" w:rsidRDefault="00000000">
            <w:pPr>
              <w:spacing w:after="100"/>
            </w:pPr>
            <w:r>
              <w:t>Data should be deleted by the organisation in line with their own retention policy. Student data is automatically deleted from the Medical Tracker platform when the student turns 25. All data deleted from Medical Tracker is retained for an additional 30 days in line with the Medical Tracker Back Up Policy, after which it is permanently purged from all servers and systems. If the organisation decides to terminate the contract, the information held in Medical Tracker should be downloaded within 90 days, after which it will be permanently purged from all servers and systems after an additional 30 days.</w:t>
            </w:r>
          </w:p>
          <w:p w14:paraId="385CE19E" w14:textId="77777777" w:rsidR="00A16CCD" w:rsidRDefault="00000000">
            <w:pPr>
              <w:spacing w:before="80" w:after="120"/>
            </w:pPr>
            <w:r>
              <w:rPr>
                <w:i/>
                <w:iCs/>
                <w:color w:val="4A4A4A"/>
              </w:rPr>
              <w:t>The organisation is responsible for setting and documenting its own retention schedule for data held in Medical Tracker, in line with its legal obligations.</w:t>
            </w:r>
          </w:p>
          <w:p w14:paraId="5E484549" w14:textId="77777777" w:rsidR="00A16CCD" w:rsidRDefault="00000000">
            <w:pPr>
              <w:spacing w:before="80"/>
            </w:pPr>
            <w:r>
              <w:t>The data will be stored electronically on the Medical Tracker platform as part of the contractual agreement between the organisation and Medical Tracker.</w:t>
            </w:r>
          </w:p>
        </w:tc>
      </w:tr>
    </w:tbl>
    <w:p w14:paraId="594FF43D" w14:textId="77777777" w:rsidR="00A16CCD" w:rsidRDefault="00A16CCD">
      <w:pPr>
        <w:spacing w:after="160"/>
      </w:pPr>
    </w:p>
    <w:p w14:paraId="6B599BA1" w14:textId="77777777" w:rsidR="00A16CCD" w:rsidRDefault="00000000">
      <w:pPr>
        <w:pStyle w:val="Heading2"/>
      </w:pPr>
      <w:r>
        <w:lastRenderedPageBreak/>
        <w:t>Context of the Processing</w:t>
      </w:r>
    </w:p>
    <w:p w14:paraId="67B456AA" w14:textId="77777777" w:rsidR="00A16CCD" w:rsidRDefault="00000000">
      <w:pPr>
        <w:spacing w:before="80" w:after="80"/>
      </w:pPr>
      <w:r>
        <w:rPr>
          <w:b/>
          <w:bCs/>
          <w:color w:val="1B3A6B"/>
        </w:rPr>
        <w:t>Describe the nature of your relationship with the individuals whose data is being processed, including whether it involves children or other vulnerable groups, and the extent to which they would expect their data to be used in this way.</w:t>
      </w:r>
    </w:p>
    <w:p w14:paraId="0C6D963F"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4F8E7839"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6329A43C" w14:textId="77777777" w:rsidR="00A16CCD" w:rsidRDefault="00000000">
            <w:pPr>
              <w:spacing w:after="80"/>
            </w:pPr>
            <w:r>
              <w:t xml:space="preserve">Medical Tracker is used to record and manage the health of students, staff and visitors. The organisation has an existing relationship with all data subjects, </w:t>
            </w:r>
            <w:proofErr w:type="gramStart"/>
            <w:r>
              <w:t>with the exception of</w:t>
            </w:r>
            <w:proofErr w:type="gramEnd"/>
            <w:r>
              <w:t xml:space="preserve"> named healthcare providers. The processing involves data relating to children, which requires particular care. The processing is necessary to fulfil the organisation’s legal and safeguarding obligations. Parents and guardians are made aware of this processing through the organisation’s privacy notice. The platform enhances data security by replacing paper-based or spreadsheet records with a controlled, auditable digital system, restricting access to those who need it and providing parents and guardians with notifications about their child’s health.</w:t>
            </w:r>
          </w:p>
        </w:tc>
      </w:tr>
    </w:tbl>
    <w:p w14:paraId="27A70829" w14:textId="77777777" w:rsidR="00A16CCD" w:rsidRDefault="00A16CCD">
      <w:pPr>
        <w:spacing w:after="160"/>
      </w:pPr>
    </w:p>
    <w:p w14:paraId="4DF0E47C" w14:textId="77777777" w:rsidR="00A16CCD" w:rsidRDefault="00000000">
      <w:pPr>
        <w:pStyle w:val="Heading2"/>
      </w:pPr>
      <w:r>
        <w:t>Purposes of the Processing</w:t>
      </w:r>
    </w:p>
    <w:p w14:paraId="2D7A4FDA" w14:textId="77777777" w:rsidR="00A16CCD" w:rsidRDefault="00000000">
      <w:pPr>
        <w:spacing w:before="80" w:after="80"/>
      </w:pPr>
      <w:r>
        <w:rPr>
          <w:b/>
          <w:bCs/>
          <w:color w:val="1B3A6B"/>
        </w:rPr>
        <w:t>Describe the purpose of the processing, its intended effect on individuals, and the expected benefits.</w:t>
      </w:r>
    </w:p>
    <w:p w14:paraId="485619C3"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029FC9DD"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2A273731" w14:textId="77777777" w:rsidR="00A16CCD" w:rsidRDefault="00000000">
            <w:pPr>
              <w:spacing w:after="80"/>
            </w:pPr>
            <w:r>
              <w:t>The purpose of the deployment of Medical Tracker is to enable the organisation to record, track and manage student, staff and visitor health. The data captured can offer insight into accident hotspots. It keeps parents and carers up to date, and ensures relevant parties are kept informed about the health of students. Immediate access is available for life-saving situations. A full history of all medical information is available for specific stakeholders. The standardised recording of information ensures legal and statutory duties are met.</w:t>
            </w:r>
          </w:p>
          <w:p w14:paraId="3D7D151D" w14:textId="77777777" w:rsidR="00A16CCD" w:rsidRDefault="00000000">
            <w:pPr>
              <w:spacing w:after="80"/>
            </w:pPr>
            <w:r>
              <w:t xml:space="preserve">Medical Tracker stores the data the organisation already stores and utilises (either using paper records or in spreadsheets). It offers a safer, reliable and efficient process. Department for Education guidelines state this information must be kept and that protocol around notifying parents must be followed; </w:t>
            </w:r>
            <w:proofErr w:type="gramStart"/>
            <w:r>
              <w:t>therefore</w:t>
            </w:r>
            <w:proofErr w:type="gramEnd"/>
            <w:r>
              <w:t xml:space="preserve"> the risk is far outweighed by the benefit of adhering to DfE safeguarding guidelines.</w:t>
            </w:r>
          </w:p>
        </w:tc>
      </w:tr>
    </w:tbl>
    <w:p w14:paraId="470FCBF9" w14:textId="77777777" w:rsidR="00A16CCD" w:rsidRDefault="00A16CCD">
      <w:pPr>
        <w:spacing w:after="200"/>
      </w:pPr>
    </w:p>
    <w:p w14:paraId="4410DB23" w14:textId="77777777" w:rsidR="00A16CCD" w:rsidRDefault="00000000">
      <w:r>
        <w:br w:type="page"/>
      </w:r>
    </w:p>
    <w:p w14:paraId="55B3A9BA" w14:textId="77777777" w:rsidR="00A16CCD" w:rsidRDefault="00000000">
      <w:pPr>
        <w:pStyle w:val="Heading1"/>
        <w:pBdr>
          <w:bottom w:val="single" w:sz="8" w:space="4" w:color="2E6DA4"/>
        </w:pBdr>
      </w:pPr>
      <w:r>
        <w:lastRenderedPageBreak/>
        <w:t>Step 3: Consultation Process</w:t>
      </w:r>
    </w:p>
    <w:p w14:paraId="68832081" w14:textId="77777777" w:rsidR="00A16CCD" w:rsidRDefault="00000000">
      <w:pPr>
        <w:spacing w:before="80" w:after="80"/>
      </w:pPr>
      <w:r>
        <w:rPr>
          <w:b/>
          <w:bCs/>
          <w:color w:val="1B3A6B"/>
        </w:rPr>
        <w:t>Describe whether individuals have been consulted about the processing, and if not, explain why consultation is not required.</w:t>
      </w:r>
    </w:p>
    <w:p w14:paraId="0982F033"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2962A155"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7F458740" w14:textId="77777777" w:rsidR="00A16CCD" w:rsidRDefault="00000000">
            <w:pPr>
              <w:spacing w:after="80"/>
            </w:pPr>
            <w:r>
              <w:t>As the processing is necessary for the fulfilment of a public task, consultation of data subjects, parents, and guardians is not warranted. The lawful basis for processing, including the conditions for processing special category data, is set out in Step 4 of this DPIA.</w:t>
            </w:r>
          </w:p>
        </w:tc>
      </w:tr>
    </w:tbl>
    <w:p w14:paraId="47D3EFC1" w14:textId="77777777" w:rsidR="00A16CCD" w:rsidRDefault="00A16CCD">
      <w:pPr>
        <w:spacing w:after="200"/>
      </w:pPr>
    </w:p>
    <w:p w14:paraId="28A18998" w14:textId="77777777" w:rsidR="00A16CCD" w:rsidRDefault="00000000">
      <w:pPr>
        <w:pStyle w:val="Heading1"/>
        <w:pBdr>
          <w:bottom w:val="single" w:sz="8" w:space="4" w:color="2E6DA4"/>
        </w:pBdr>
      </w:pPr>
      <w:r>
        <w:t>Step 4: Assess Necessity and Proportionality</w:t>
      </w:r>
    </w:p>
    <w:p w14:paraId="582854D3" w14:textId="77777777" w:rsidR="00A16CCD" w:rsidRDefault="00000000">
      <w:pPr>
        <w:spacing w:before="80" w:after="80"/>
      </w:pPr>
      <w:r>
        <w:rPr>
          <w:b/>
          <w:bCs/>
          <w:color w:val="1B3A6B"/>
        </w:rPr>
        <w:t>Describe how the processing is necessary and proportionate to the aims of the project, including the lawful basis for processing and how data subject rights will be upheld.</w:t>
      </w:r>
    </w:p>
    <w:p w14:paraId="1E4AFCDE"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6CCD" w14:paraId="5A3CE365" w14:textId="77777777">
        <w:tblPrEx>
          <w:tblCellMar>
            <w:top w:w="0" w:type="dxa"/>
            <w:bottom w:w="0" w:type="dxa"/>
          </w:tblCellMar>
        </w:tblPrEx>
        <w:tc>
          <w:tcPr>
            <w:tcW w:w="9026" w:type="dxa"/>
            <w:tcBorders>
              <w:top w:val="single" w:sz="2" w:space="0" w:color="2E6DA4"/>
              <w:left w:val="single" w:sz="8" w:space="0" w:color="2E6DA4"/>
              <w:bottom w:val="single" w:sz="2" w:space="0" w:color="2E6DA4"/>
              <w:right w:val="single" w:sz="2" w:space="0" w:color="2E6DA4"/>
            </w:tcBorders>
            <w:shd w:val="clear" w:color="auto" w:fill="F5F7FA"/>
            <w:tcMar>
              <w:top w:w="120" w:type="dxa"/>
              <w:left w:w="200" w:type="dxa"/>
              <w:bottom w:w="120" w:type="dxa"/>
              <w:right w:w="120" w:type="dxa"/>
            </w:tcMar>
          </w:tcPr>
          <w:p w14:paraId="3DD39ECD" w14:textId="77777777" w:rsidR="00A16CCD" w:rsidRDefault="00000000">
            <w:pPr>
              <w:spacing w:after="100"/>
            </w:pPr>
            <w:r>
              <w:rPr>
                <w:i/>
                <w:iCs/>
                <w:color w:val="4A4A4A"/>
              </w:rPr>
              <w:t>This is a model DPIA provided by Medical Tracker to assist organisations in completing their own DPIA. As Data Controller, it is the organisation’s responsibility to review and confirm that the lawful bases and conditions listed below are appropriate for their specific context before incorporating them into their own DPIA. The examples given below are those most commonly applicable to organisations using the Medical Tracker platform but should not be adopted without careful consideration.</w:t>
            </w:r>
          </w:p>
          <w:p w14:paraId="7A7FE341" w14:textId="77777777" w:rsidR="00A16CCD" w:rsidRDefault="00000000">
            <w:pPr>
              <w:spacing w:before="100" w:after="60"/>
            </w:pPr>
            <w:r>
              <w:rPr>
                <w:b/>
                <w:bCs/>
                <w:color w:val="1B3A6B"/>
              </w:rPr>
              <w:t>Lawful Basis</w:t>
            </w:r>
          </w:p>
          <w:p w14:paraId="173E2B14" w14:textId="77777777" w:rsidR="00A16CCD" w:rsidRDefault="00000000">
            <w:pPr>
              <w:spacing w:after="80"/>
            </w:pPr>
            <w:r>
              <w:t>The lawful basis for processing under UK GDPR shall be Article 6(1)(e) ‘Public Task’ on the basis that the requirement to process such data for these purposes is set out in Department for Education Safeguarding Guidelines and Health and Safety Legislation, and that the processing is taking place in delivery of a core operation of a public service.</w:t>
            </w:r>
          </w:p>
          <w:p w14:paraId="4707587C" w14:textId="77777777" w:rsidR="00A16CCD" w:rsidRDefault="00000000">
            <w:pPr>
              <w:spacing w:before="100" w:after="60"/>
            </w:pPr>
            <w:r>
              <w:rPr>
                <w:b/>
                <w:bCs/>
                <w:color w:val="1B3A6B"/>
              </w:rPr>
              <w:t>Special Category Conditions</w:t>
            </w:r>
          </w:p>
          <w:p w14:paraId="7FDA6C0D" w14:textId="77777777" w:rsidR="00A16CCD" w:rsidRDefault="00000000">
            <w:pPr>
              <w:spacing w:after="60"/>
            </w:pPr>
            <w:r>
              <w:t>The lawful conditions for processing special categories of data shall be:</w:t>
            </w:r>
          </w:p>
          <w:p w14:paraId="79703B36" w14:textId="77777777" w:rsidR="00A16CCD" w:rsidRDefault="00000000">
            <w:pPr>
              <w:pStyle w:val="ListParagraph"/>
              <w:numPr>
                <w:ilvl w:val="0"/>
                <w:numId w:val="2"/>
              </w:numPr>
              <w:spacing w:before="40" w:after="40"/>
            </w:pPr>
            <w:r>
              <w:t xml:space="preserve">Article 9(2)(b) ‘Employment and Social Security’ </w:t>
            </w:r>
            <w:proofErr w:type="gramStart"/>
            <w:r>
              <w:t>on the basis of</w:t>
            </w:r>
            <w:proofErr w:type="gramEnd"/>
            <w:r>
              <w:t xml:space="preserve"> providing for the social protection of the students</w:t>
            </w:r>
          </w:p>
          <w:p w14:paraId="619C76A2" w14:textId="77777777" w:rsidR="00A16CCD" w:rsidRDefault="00000000">
            <w:pPr>
              <w:pStyle w:val="ListParagraph"/>
              <w:numPr>
                <w:ilvl w:val="0"/>
                <w:numId w:val="2"/>
              </w:numPr>
              <w:spacing w:before="40" w:after="40"/>
            </w:pPr>
            <w:r>
              <w:t xml:space="preserve">Article 9(2)(g) ‘Substantial Public Interest’ </w:t>
            </w:r>
            <w:proofErr w:type="gramStart"/>
            <w:r>
              <w:t>on the basis of</w:t>
            </w:r>
            <w:proofErr w:type="gramEnd"/>
            <w:r>
              <w:t xml:space="preserve"> the fulfilment of obligations set out in public guidance and legislation</w:t>
            </w:r>
          </w:p>
          <w:p w14:paraId="4A8013F8" w14:textId="77777777" w:rsidR="00A16CCD" w:rsidRDefault="00000000">
            <w:pPr>
              <w:spacing w:before="100" w:after="60"/>
            </w:pPr>
            <w:r>
              <w:rPr>
                <w:b/>
                <w:bCs/>
                <w:color w:val="1B3A6B"/>
              </w:rPr>
              <w:t>Data Protection Act Schedule 1 Conditions</w:t>
            </w:r>
          </w:p>
          <w:p w14:paraId="2E8AF93F" w14:textId="77777777" w:rsidR="00A16CCD" w:rsidRDefault="00000000">
            <w:pPr>
              <w:pStyle w:val="ListParagraph"/>
              <w:numPr>
                <w:ilvl w:val="0"/>
                <w:numId w:val="2"/>
              </w:numPr>
              <w:spacing w:before="40" w:after="40"/>
            </w:pPr>
            <w:r>
              <w:t>Schedule 1, Part 1 – Employment, Social Security and Social Protection</w:t>
            </w:r>
          </w:p>
          <w:p w14:paraId="2488ABCC" w14:textId="77777777" w:rsidR="00A16CCD" w:rsidRDefault="00000000">
            <w:pPr>
              <w:pStyle w:val="ListParagraph"/>
              <w:numPr>
                <w:ilvl w:val="0"/>
                <w:numId w:val="2"/>
              </w:numPr>
              <w:spacing w:before="40" w:after="40"/>
            </w:pPr>
            <w:r>
              <w:t>Schedule 1, Part 2 – Safeguarding of Children and Individuals at Risk</w:t>
            </w:r>
          </w:p>
          <w:p w14:paraId="2A3376A5" w14:textId="77777777" w:rsidR="00A16CCD" w:rsidRDefault="00000000">
            <w:pPr>
              <w:spacing w:before="100" w:after="80"/>
            </w:pPr>
            <w:r>
              <w:rPr>
                <w:b/>
                <w:bCs/>
                <w:color w:val="1B3A6B"/>
              </w:rPr>
              <w:t>Proportionality and Data Subject Rights</w:t>
            </w:r>
          </w:p>
          <w:p w14:paraId="135B6100" w14:textId="77777777" w:rsidR="00A16CCD" w:rsidRDefault="00000000">
            <w:pPr>
              <w:spacing w:after="80"/>
            </w:pPr>
            <w:r>
              <w:t>The processing will achieve the stated purposes without unduly exceeding them. Access to data is restricted and control measures are in place to prevent the reuse of data for new purposes which are not consistent with the existing purposes. The structured nature of the platform makes compliance with data subject rights more practicable and thus these are facilitated in a way which was not possible with manual and disparate records.</w:t>
            </w:r>
          </w:p>
          <w:p w14:paraId="33A4F44C" w14:textId="77777777" w:rsidR="00A16CCD" w:rsidRDefault="00000000">
            <w:pPr>
              <w:spacing w:after="80"/>
            </w:pPr>
            <w:r>
              <w:t xml:space="preserve">Organisations can fulfil Subject Access Requests efficiently using the Medical Tracker platform, which allows relevant data to be easily located and exported. Guidance on how to export data from Medical Tracker is available </w:t>
            </w:r>
            <w:hyperlink r:id="rId10" w:history="1">
              <w:r>
                <w:rPr>
                  <w:color w:val="2E6DA4"/>
                  <w:u w:val="single"/>
                </w:rPr>
                <w:t>How to export data from Medical Tracker</w:t>
              </w:r>
            </w:hyperlink>
            <w:r>
              <w:t>. The Data Processing Agreement between the organisation and Medical Tracker is incorporated into the Terms of Service.</w:t>
            </w:r>
          </w:p>
        </w:tc>
      </w:tr>
    </w:tbl>
    <w:p w14:paraId="6CEC8716" w14:textId="77777777" w:rsidR="00A16CCD" w:rsidRDefault="00A16CCD">
      <w:pPr>
        <w:spacing w:after="200"/>
      </w:pPr>
    </w:p>
    <w:p w14:paraId="49073853" w14:textId="77777777" w:rsidR="00A16CCD" w:rsidRDefault="00000000">
      <w:r>
        <w:br w:type="page"/>
      </w:r>
    </w:p>
    <w:p w14:paraId="3508A032" w14:textId="77777777" w:rsidR="00A16CCD" w:rsidRDefault="00000000">
      <w:pPr>
        <w:pStyle w:val="Heading1"/>
        <w:pBdr>
          <w:bottom w:val="single" w:sz="8" w:space="4" w:color="2E6DA4"/>
        </w:pBdr>
      </w:pPr>
      <w:r>
        <w:lastRenderedPageBreak/>
        <w:t>Step 5: Identify and Assess Risks</w:t>
      </w:r>
    </w:p>
    <w:p w14:paraId="26F6620D" w14:textId="77777777" w:rsidR="00A16CCD" w:rsidRDefault="00000000">
      <w:pPr>
        <w:spacing w:before="80" w:after="120"/>
      </w:pPr>
      <w:r>
        <w:t>The table below sets out the inherent risks – before any mitigating measures are applied. Risk reduction measures are detailed in Step 6.</w:t>
      </w:r>
    </w:p>
    <w:p w14:paraId="551C55ED"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26"/>
        <w:gridCol w:w="1400"/>
        <w:gridCol w:w="1400"/>
        <w:gridCol w:w="1600"/>
      </w:tblGrid>
      <w:tr w:rsidR="00A16CCD" w14:paraId="012AA317" w14:textId="77777777">
        <w:tblPrEx>
          <w:tblCellMar>
            <w:top w:w="0" w:type="dxa"/>
            <w:bottom w:w="0" w:type="dxa"/>
          </w:tblCellMar>
        </w:tblPrEx>
        <w:trPr>
          <w:tblHeader/>
        </w:trPr>
        <w:tc>
          <w:tcPr>
            <w:tcW w:w="4626"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3B1950B2" w14:textId="77777777" w:rsidR="00A16CCD" w:rsidRDefault="00000000">
            <w:r>
              <w:rPr>
                <w:b/>
                <w:bCs/>
                <w:color w:val="FFFFFF"/>
                <w:sz w:val="18"/>
                <w:szCs w:val="18"/>
              </w:rPr>
              <w:t>Source of Risk and Nature of Potential Impact</w:t>
            </w:r>
          </w:p>
        </w:tc>
        <w:tc>
          <w:tcPr>
            <w:tcW w:w="14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55399035" w14:textId="77777777" w:rsidR="00A16CCD" w:rsidRDefault="00000000">
            <w:r>
              <w:rPr>
                <w:b/>
                <w:bCs/>
                <w:color w:val="FFFFFF"/>
                <w:sz w:val="18"/>
                <w:szCs w:val="18"/>
              </w:rPr>
              <w:t>Likelihood</w:t>
            </w:r>
          </w:p>
        </w:tc>
        <w:tc>
          <w:tcPr>
            <w:tcW w:w="14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1C5E2F67" w14:textId="77777777" w:rsidR="00A16CCD" w:rsidRDefault="00000000">
            <w:r>
              <w:rPr>
                <w:b/>
                <w:bCs/>
                <w:color w:val="FFFFFF"/>
                <w:sz w:val="18"/>
                <w:szCs w:val="18"/>
              </w:rPr>
              <w:t>Severity</w:t>
            </w:r>
          </w:p>
        </w:tc>
        <w:tc>
          <w:tcPr>
            <w:tcW w:w="16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644D3657" w14:textId="77777777" w:rsidR="00A16CCD" w:rsidRDefault="00000000">
            <w:r>
              <w:rPr>
                <w:b/>
                <w:bCs/>
                <w:color w:val="FFFFFF"/>
                <w:sz w:val="18"/>
                <w:szCs w:val="18"/>
              </w:rPr>
              <w:t>Overall Risk</w:t>
            </w:r>
          </w:p>
        </w:tc>
      </w:tr>
      <w:tr w:rsidR="00A16CCD" w14:paraId="79B225CE"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BBF6A04" w14:textId="77777777" w:rsidR="00A16CCD" w:rsidRDefault="00000000">
            <w:r>
              <w:rPr>
                <w:sz w:val="18"/>
                <w:szCs w:val="18"/>
              </w:rPr>
              <w:t>R01 – Loss of data integrity – accidental</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953124A"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2F18955"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672E63A9" w14:textId="77777777" w:rsidR="00A16CCD" w:rsidRDefault="00000000">
            <w:r>
              <w:rPr>
                <w:b/>
                <w:bCs/>
                <w:color w:val="C0392B"/>
                <w:sz w:val="18"/>
                <w:szCs w:val="18"/>
              </w:rPr>
              <w:t>High</w:t>
            </w:r>
          </w:p>
        </w:tc>
      </w:tr>
      <w:tr w:rsidR="00A16CCD" w14:paraId="2A5B5DCB"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26140C1" w14:textId="77777777" w:rsidR="00A16CCD" w:rsidRDefault="00000000">
            <w:r>
              <w:rPr>
                <w:sz w:val="18"/>
                <w:szCs w:val="18"/>
              </w:rPr>
              <w:t>R02 – Loss of confidentiality – accidental</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7FDFBC4"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5B044E6" w14:textId="77777777" w:rsidR="00A16CCD" w:rsidRDefault="00000000">
            <w:r>
              <w:rPr>
                <w:sz w:val="18"/>
                <w:szCs w:val="18"/>
              </w:rPr>
              <w:t>Severe</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66501C52" w14:textId="77777777" w:rsidR="00A16CCD" w:rsidRDefault="00000000">
            <w:r>
              <w:rPr>
                <w:b/>
                <w:bCs/>
                <w:color w:val="C0392B"/>
                <w:sz w:val="18"/>
                <w:szCs w:val="18"/>
              </w:rPr>
              <w:t>High</w:t>
            </w:r>
          </w:p>
        </w:tc>
      </w:tr>
      <w:tr w:rsidR="00A16CCD" w14:paraId="164F2E3F"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E29ECB9" w14:textId="77777777" w:rsidR="00A16CCD" w:rsidRDefault="00000000">
            <w:r>
              <w:rPr>
                <w:sz w:val="18"/>
                <w:szCs w:val="18"/>
              </w:rPr>
              <w:t>R03 – Loss of availability – accidental</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96B1C9E"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1D35C812"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334918F5" w14:textId="77777777" w:rsidR="00A16CCD" w:rsidRDefault="00000000">
            <w:r>
              <w:rPr>
                <w:b/>
                <w:bCs/>
                <w:color w:val="C0392B"/>
                <w:sz w:val="18"/>
                <w:szCs w:val="18"/>
              </w:rPr>
              <w:t>High</w:t>
            </w:r>
          </w:p>
        </w:tc>
      </w:tr>
      <w:tr w:rsidR="00A16CCD" w14:paraId="33423D30"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6ADE60C" w14:textId="77777777" w:rsidR="00A16CCD" w:rsidRDefault="00000000">
            <w:r>
              <w:rPr>
                <w:sz w:val="18"/>
                <w:szCs w:val="18"/>
              </w:rPr>
              <w:t>R04 – Loss of data integrity – malicious – external threat</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85F5F49"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DD72FD6"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5353070C" w14:textId="77777777" w:rsidR="00A16CCD" w:rsidRDefault="00000000">
            <w:r>
              <w:rPr>
                <w:b/>
                <w:bCs/>
                <w:color w:val="C0392B"/>
                <w:sz w:val="18"/>
                <w:szCs w:val="18"/>
              </w:rPr>
              <w:t>High</w:t>
            </w:r>
          </w:p>
        </w:tc>
      </w:tr>
      <w:tr w:rsidR="00A16CCD" w14:paraId="1158C641"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F322E83" w14:textId="77777777" w:rsidR="00A16CCD" w:rsidRDefault="00000000">
            <w:r>
              <w:rPr>
                <w:sz w:val="18"/>
                <w:szCs w:val="18"/>
              </w:rPr>
              <w:t>R05 – Loss of confidentiality – malicious – external threat</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132F036D"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DA32A0B" w14:textId="77777777" w:rsidR="00A16CCD" w:rsidRDefault="00000000">
            <w:r>
              <w:rPr>
                <w:sz w:val="18"/>
                <w:szCs w:val="18"/>
              </w:rPr>
              <w:t>Severe</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47909960" w14:textId="77777777" w:rsidR="00A16CCD" w:rsidRDefault="00000000">
            <w:r>
              <w:rPr>
                <w:b/>
                <w:bCs/>
                <w:color w:val="C0392B"/>
                <w:sz w:val="18"/>
                <w:szCs w:val="18"/>
              </w:rPr>
              <w:t>High</w:t>
            </w:r>
          </w:p>
        </w:tc>
      </w:tr>
      <w:tr w:rsidR="00A16CCD" w14:paraId="62DC82BC"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15BA5EF1" w14:textId="77777777" w:rsidR="00A16CCD" w:rsidRDefault="00000000">
            <w:r>
              <w:rPr>
                <w:sz w:val="18"/>
                <w:szCs w:val="18"/>
              </w:rPr>
              <w:t>R06 – Loss of availability – malicious – external threat</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9D9074A"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5F95D28"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4A776EA5" w14:textId="77777777" w:rsidR="00A16CCD" w:rsidRDefault="00000000">
            <w:r>
              <w:rPr>
                <w:b/>
                <w:bCs/>
                <w:color w:val="C0392B"/>
                <w:sz w:val="18"/>
                <w:szCs w:val="18"/>
              </w:rPr>
              <w:t>High</w:t>
            </w:r>
          </w:p>
        </w:tc>
      </w:tr>
      <w:tr w:rsidR="00A16CCD" w14:paraId="3119D1F5"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0905B7C" w14:textId="77777777" w:rsidR="00A16CCD" w:rsidRDefault="00000000">
            <w:r>
              <w:rPr>
                <w:sz w:val="18"/>
                <w:szCs w:val="18"/>
              </w:rPr>
              <w:t>R07 – Loss of data integrity – malicious – internal threat (organisation)</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D12812E"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9F2B972"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7FC12E4A" w14:textId="77777777" w:rsidR="00A16CCD" w:rsidRDefault="00000000">
            <w:r>
              <w:rPr>
                <w:b/>
                <w:bCs/>
                <w:color w:val="D68910"/>
                <w:sz w:val="18"/>
                <w:szCs w:val="18"/>
              </w:rPr>
              <w:t>Medium</w:t>
            </w:r>
          </w:p>
        </w:tc>
      </w:tr>
      <w:tr w:rsidR="00A16CCD" w14:paraId="21C5F74B"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6986E42" w14:textId="77777777" w:rsidR="00A16CCD" w:rsidRDefault="00000000">
            <w:r>
              <w:rPr>
                <w:sz w:val="18"/>
                <w:szCs w:val="18"/>
              </w:rPr>
              <w:t>R08 – Loss of confidentiality – malicious – internal threat (organisation)</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60CAB40A"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B69CA35" w14:textId="77777777" w:rsidR="00A16CCD" w:rsidRDefault="00000000">
            <w:r>
              <w:rPr>
                <w:sz w:val="18"/>
                <w:szCs w:val="18"/>
              </w:rPr>
              <w:t>Severe</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047F46A6" w14:textId="77777777" w:rsidR="00A16CCD" w:rsidRDefault="00000000">
            <w:r>
              <w:rPr>
                <w:b/>
                <w:bCs/>
                <w:color w:val="C0392B"/>
                <w:sz w:val="18"/>
                <w:szCs w:val="18"/>
              </w:rPr>
              <w:t>High</w:t>
            </w:r>
          </w:p>
        </w:tc>
      </w:tr>
      <w:tr w:rsidR="00A16CCD" w14:paraId="70FDE442"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2ACB96F" w14:textId="77777777" w:rsidR="00A16CCD" w:rsidRDefault="00000000">
            <w:r>
              <w:rPr>
                <w:sz w:val="18"/>
                <w:szCs w:val="18"/>
              </w:rPr>
              <w:t>R09 – Loss of availability – malicious – internal threat (organisation)</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752B236"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A8BA81F"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1ABD7353" w14:textId="77777777" w:rsidR="00A16CCD" w:rsidRDefault="00000000">
            <w:r>
              <w:rPr>
                <w:b/>
                <w:bCs/>
                <w:color w:val="D68910"/>
                <w:sz w:val="18"/>
                <w:szCs w:val="18"/>
              </w:rPr>
              <w:t>Medium</w:t>
            </w:r>
          </w:p>
        </w:tc>
      </w:tr>
      <w:tr w:rsidR="00A16CCD" w14:paraId="44828136"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72A9F27" w14:textId="77777777" w:rsidR="00A16CCD" w:rsidRDefault="00000000">
            <w:r>
              <w:rPr>
                <w:sz w:val="18"/>
                <w:szCs w:val="18"/>
              </w:rPr>
              <w:t>R10 – Loss of data integrity – malicious – supplier internal threat</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192879A8"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0CFD761"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00868AAB" w14:textId="77777777" w:rsidR="00A16CCD" w:rsidRDefault="00000000">
            <w:r>
              <w:rPr>
                <w:b/>
                <w:bCs/>
                <w:color w:val="D68910"/>
                <w:sz w:val="18"/>
                <w:szCs w:val="18"/>
              </w:rPr>
              <w:t>Medium</w:t>
            </w:r>
          </w:p>
        </w:tc>
      </w:tr>
      <w:tr w:rsidR="00A16CCD" w14:paraId="2E03A12C"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DA3CC35" w14:textId="77777777" w:rsidR="00A16CCD" w:rsidRDefault="00000000">
            <w:r>
              <w:rPr>
                <w:sz w:val="18"/>
                <w:szCs w:val="18"/>
              </w:rPr>
              <w:t>R11 – Loss of confidentiality – malicious – supplier internal threat</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FDDFF84"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2A06B3B" w14:textId="77777777" w:rsidR="00A16CCD" w:rsidRDefault="00000000">
            <w:r>
              <w:rPr>
                <w:sz w:val="18"/>
                <w:szCs w:val="18"/>
              </w:rPr>
              <w:t>Severe</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4F3E8F13" w14:textId="77777777" w:rsidR="00A16CCD" w:rsidRDefault="00000000">
            <w:r>
              <w:rPr>
                <w:b/>
                <w:bCs/>
                <w:color w:val="C0392B"/>
                <w:sz w:val="18"/>
                <w:szCs w:val="18"/>
              </w:rPr>
              <w:t>High</w:t>
            </w:r>
          </w:p>
        </w:tc>
      </w:tr>
      <w:tr w:rsidR="00A16CCD" w14:paraId="4939FC9C"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C4AE395" w14:textId="77777777" w:rsidR="00A16CCD" w:rsidRDefault="00000000">
            <w:r>
              <w:rPr>
                <w:sz w:val="18"/>
                <w:szCs w:val="18"/>
              </w:rPr>
              <w:t>R12 – Loss of availability – malicious – supplier internal threat</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009B9B9"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026CBF1"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7B6ABF4E" w14:textId="77777777" w:rsidR="00A16CCD" w:rsidRDefault="00000000">
            <w:r>
              <w:rPr>
                <w:b/>
                <w:bCs/>
                <w:color w:val="D68910"/>
                <w:sz w:val="18"/>
                <w:szCs w:val="18"/>
              </w:rPr>
              <w:t>Medium</w:t>
            </w:r>
          </w:p>
        </w:tc>
      </w:tr>
      <w:tr w:rsidR="00A16CCD" w14:paraId="1CAA41C3"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09CCE74" w14:textId="77777777" w:rsidR="00A16CCD" w:rsidRDefault="00000000">
            <w:r>
              <w:rPr>
                <w:sz w:val="18"/>
                <w:szCs w:val="18"/>
              </w:rPr>
              <w:t>R13 – Inappropriate reuse of data – supplier</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AA9138E"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35FF924" w14:textId="77777777" w:rsidR="00A16CCD" w:rsidRDefault="00000000">
            <w:r>
              <w:rPr>
                <w:sz w:val="18"/>
                <w:szCs w:val="18"/>
              </w:rPr>
              <w:t>Minimal</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03E5A9A8" w14:textId="77777777" w:rsidR="00A16CCD" w:rsidRDefault="00000000">
            <w:r>
              <w:rPr>
                <w:b/>
                <w:bCs/>
                <w:color w:val="D68910"/>
                <w:sz w:val="18"/>
                <w:szCs w:val="18"/>
              </w:rPr>
              <w:t>Medium</w:t>
            </w:r>
          </w:p>
        </w:tc>
      </w:tr>
      <w:tr w:rsidR="00A16CCD" w14:paraId="0E6CB50A"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AA9A45D" w14:textId="77777777" w:rsidR="00A16CCD" w:rsidRDefault="00000000">
            <w:r>
              <w:rPr>
                <w:sz w:val="18"/>
                <w:szCs w:val="18"/>
              </w:rPr>
              <w:t>R14 – Inappropriate reuse of data – organisation</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69136B69"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90C7D01" w14:textId="77777777" w:rsidR="00A16CCD" w:rsidRDefault="00000000">
            <w:r>
              <w:rPr>
                <w:sz w:val="18"/>
                <w:szCs w:val="18"/>
              </w:rPr>
              <w:t>Minimal</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5F244B61" w14:textId="77777777" w:rsidR="00A16CCD" w:rsidRDefault="00000000">
            <w:r>
              <w:rPr>
                <w:b/>
                <w:bCs/>
                <w:color w:val="D68910"/>
                <w:sz w:val="18"/>
                <w:szCs w:val="18"/>
              </w:rPr>
              <w:t>Medium</w:t>
            </w:r>
          </w:p>
        </w:tc>
      </w:tr>
      <w:tr w:rsidR="00A16CCD" w14:paraId="499CD0D9"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B69EA37" w14:textId="77777777" w:rsidR="00A16CCD" w:rsidRDefault="00000000">
            <w:r>
              <w:rPr>
                <w:sz w:val="18"/>
                <w:szCs w:val="18"/>
              </w:rPr>
              <w:t>R15 – Inappropriate data access by a foreign power</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94B38EB"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5D3494A" w14:textId="77777777" w:rsidR="00A16CCD" w:rsidRDefault="00000000">
            <w:r>
              <w:rPr>
                <w:sz w:val="18"/>
                <w:szCs w:val="18"/>
              </w:rPr>
              <w:t>Minimal</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55AF8561" w14:textId="77777777" w:rsidR="00A16CCD" w:rsidRDefault="00000000">
            <w:r>
              <w:rPr>
                <w:b/>
                <w:bCs/>
                <w:color w:val="D68910"/>
                <w:sz w:val="18"/>
                <w:szCs w:val="18"/>
              </w:rPr>
              <w:t>Medium</w:t>
            </w:r>
          </w:p>
        </w:tc>
      </w:tr>
      <w:tr w:rsidR="00A16CCD" w14:paraId="2AA9B799"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0050347" w14:textId="77777777" w:rsidR="00A16CCD" w:rsidRDefault="00000000">
            <w:r>
              <w:rPr>
                <w:sz w:val="18"/>
                <w:szCs w:val="18"/>
              </w:rPr>
              <w:t>R16 – Inappropriate data access by the state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B5B8A97"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1E0ADDB" w14:textId="77777777" w:rsidR="00A16CCD" w:rsidRDefault="00000000">
            <w:r>
              <w:rPr>
                <w:sz w:val="18"/>
                <w:szCs w:val="18"/>
              </w:rPr>
              <w:t>Minimal</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237A6CB9" w14:textId="77777777" w:rsidR="00A16CCD" w:rsidRDefault="00000000">
            <w:r>
              <w:rPr>
                <w:b/>
                <w:bCs/>
                <w:color w:val="D68910"/>
                <w:sz w:val="18"/>
                <w:szCs w:val="18"/>
              </w:rPr>
              <w:t>Medium</w:t>
            </w:r>
          </w:p>
        </w:tc>
      </w:tr>
      <w:tr w:rsidR="00A16CCD" w14:paraId="449FEBAE"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BF53083" w14:textId="77777777" w:rsidR="00A16CCD" w:rsidRDefault="00000000">
            <w:r>
              <w:rPr>
                <w:sz w:val="18"/>
                <w:szCs w:val="18"/>
              </w:rPr>
              <w:t>R17 – Data accessed by a data subject leading to harm</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1852F9D1" w14:textId="77777777" w:rsidR="00A16CCD" w:rsidRDefault="00000000">
            <w:r>
              <w:rPr>
                <w:sz w:val="18"/>
                <w:szCs w:val="18"/>
              </w:rPr>
              <w:t>Possible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24693CD" w14:textId="77777777" w:rsidR="00A16CCD" w:rsidRDefault="00000000">
            <w:r>
              <w:rPr>
                <w:sz w:val="18"/>
                <w:szCs w:val="18"/>
              </w:rPr>
              <w:t>Severe</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28A10740" w14:textId="77777777" w:rsidR="00A16CCD" w:rsidRDefault="00000000">
            <w:r>
              <w:rPr>
                <w:b/>
                <w:bCs/>
                <w:color w:val="C0392B"/>
                <w:sz w:val="18"/>
                <w:szCs w:val="18"/>
              </w:rPr>
              <w:t>High</w:t>
            </w:r>
          </w:p>
        </w:tc>
      </w:tr>
      <w:tr w:rsidR="00A16CCD" w14:paraId="21BFFDCA"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6214C5A" w14:textId="77777777" w:rsidR="00A16CCD" w:rsidRDefault="00000000">
            <w:r>
              <w:rPr>
                <w:sz w:val="18"/>
                <w:szCs w:val="18"/>
              </w:rPr>
              <w:t>R18 – Noncompliance with data subject rights</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67ADFE2"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32EB83A5"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102620AB" w14:textId="77777777" w:rsidR="00A16CCD" w:rsidRDefault="00000000">
            <w:r>
              <w:rPr>
                <w:b/>
                <w:bCs/>
                <w:color w:val="C0392B"/>
                <w:sz w:val="18"/>
                <w:szCs w:val="18"/>
              </w:rPr>
              <w:t>High</w:t>
            </w:r>
          </w:p>
        </w:tc>
      </w:tr>
      <w:tr w:rsidR="00A16CCD" w14:paraId="744660EC"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D77F4AA" w14:textId="77777777" w:rsidR="00A16CCD" w:rsidRDefault="00000000">
            <w:r>
              <w:rPr>
                <w:sz w:val="18"/>
                <w:szCs w:val="18"/>
              </w:rPr>
              <w:t>R19 – Noncompliance with other legal and regulatory requirements</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DF20622"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8E2212B" w14:textId="77777777" w:rsidR="00A16CCD" w:rsidRDefault="00000000">
            <w:r>
              <w:rPr>
                <w:sz w:val="18"/>
                <w:szCs w:val="18"/>
              </w:rPr>
              <w:t>Significant</w:t>
            </w:r>
          </w:p>
        </w:tc>
        <w:tc>
          <w:tcPr>
            <w:tcW w:w="1600" w:type="dxa"/>
            <w:tcBorders>
              <w:top w:val="single" w:sz="1" w:space="0" w:color="E0E6ED"/>
              <w:left w:val="single" w:sz="1" w:space="0" w:color="E0E6ED"/>
              <w:bottom w:val="single" w:sz="1" w:space="0" w:color="E0E6ED"/>
              <w:right w:val="single" w:sz="1" w:space="0" w:color="E0E6ED"/>
            </w:tcBorders>
            <w:shd w:val="clear" w:color="auto" w:fill="FADBD8"/>
            <w:tcMar>
              <w:top w:w="60" w:type="dxa"/>
              <w:left w:w="120" w:type="dxa"/>
              <w:bottom w:w="60" w:type="dxa"/>
              <w:right w:w="120" w:type="dxa"/>
            </w:tcMar>
          </w:tcPr>
          <w:p w14:paraId="061F27CC" w14:textId="77777777" w:rsidR="00A16CCD" w:rsidRDefault="00000000">
            <w:r>
              <w:rPr>
                <w:b/>
                <w:bCs/>
                <w:color w:val="C0392B"/>
                <w:sz w:val="18"/>
                <w:szCs w:val="18"/>
              </w:rPr>
              <w:t>High</w:t>
            </w:r>
          </w:p>
        </w:tc>
      </w:tr>
      <w:tr w:rsidR="00A16CCD" w14:paraId="410408A1" w14:textId="77777777">
        <w:tblPrEx>
          <w:tblCellMar>
            <w:top w:w="0" w:type="dxa"/>
            <w:bottom w:w="0" w:type="dxa"/>
          </w:tblCellMar>
        </w:tblPrEx>
        <w:tc>
          <w:tcPr>
            <w:tcW w:w="46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B013731" w14:textId="77777777" w:rsidR="00A16CCD" w:rsidRDefault="00000000">
            <w:r>
              <w:rPr>
                <w:sz w:val="18"/>
                <w:szCs w:val="18"/>
              </w:rPr>
              <w:t xml:space="preserve">R20 – Data retained </w:t>
            </w:r>
            <w:proofErr w:type="gramStart"/>
            <w:r>
              <w:rPr>
                <w:sz w:val="18"/>
                <w:szCs w:val="18"/>
              </w:rPr>
              <w:t>in excess of</w:t>
            </w:r>
            <w:proofErr w:type="gramEnd"/>
            <w:r>
              <w:rPr>
                <w:sz w:val="18"/>
                <w:szCs w:val="18"/>
              </w:rPr>
              <w:t xml:space="preserve"> retention periods</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8AF3D94" w14:textId="77777777" w:rsidR="00A16CCD" w:rsidRDefault="00000000">
            <w:r>
              <w:rPr>
                <w:sz w:val="18"/>
                <w:szCs w:val="18"/>
              </w:rPr>
              <w:t>Probable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5DA0406" w14:textId="77777777" w:rsidR="00A16CCD" w:rsidRDefault="00000000">
            <w:r>
              <w:rPr>
                <w:sz w:val="18"/>
                <w:szCs w:val="18"/>
              </w:rPr>
              <w:t>Minimal</w:t>
            </w:r>
          </w:p>
        </w:tc>
        <w:tc>
          <w:tcPr>
            <w:tcW w:w="1600" w:type="dxa"/>
            <w:tcBorders>
              <w:top w:val="single" w:sz="1" w:space="0" w:color="E0E6ED"/>
              <w:left w:val="single" w:sz="1" w:space="0" w:color="E0E6ED"/>
              <w:bottom w:val="single" w:sz="1" w:space="0" w:color="E0E6ED"/>
              <w:right w:val="single" w:sz="1" w:space="0" w:color="E0E6ED"/>
            </w:tcBorders>
            <w:shd w:val="clear" w:color="auto" w:fill="FDEBD0"/>
            <w:tcMar>
              <w:top w:w="60" w:type="dxa"/>
              <w:left w:w="120" w:type="dxa"/>
              <w:bottom w:w="60" w:type="dxa"/>
              <w:right w:w="120" w:type="dxa"/>
            </w:tcMar>
          </w:tcPr>
          <w:p w14:paraId="57D928EE" w14:textId="77777777" w:rsidR="00A16CCD" w:rsidRDefault="00000000">
            <w:r>
              <w:rPr>
                <w:b/>
                <w:bCs/>
                <w:color w:val="D68910"/>
                <w:sz w:val="18"/>
                <w:szCs w:val="18"/>
              </w:rPr>
              <w:t>Medium</w:t>
            </w:r>
          </w:p>
        </w:tc>
      </w:tr>
    </w:tbl>
    <w:p w14:paraId="52CBDDFB" w14:textId="77777777" w:rsidR="00A16CCD" w:rsidRDefault="00A16CCD">
      <w:pPr>
        <w:spacing w:after="200"/>
      </w:pPr>
    </w:p>
    <w:p w14:paraId="720FC9B0" w14:textId="77777777" w:rsidR="00A16CCD" w:rsidRDefault="00000000">
      <w:r>
        <w:br w:type="page"/>
      </w:r>
    </w:p>
    <w:p w14:paraId="62B9472B" w14:textId="77777777" w:rsidR="00A16CCD" w:rsidRDefault="00000000">
      <w:pPr>
        <w:pStyle w:val="Heading1"/>
        <w:pBdr>
          <w:bottom w:val="single" w:sz="8" w:space="4" w:color="2E6DA4"/>
        </w:pBdr>
      </w:pPr>
      <w:r>
        <w:lastRenderedPageBreak/>
        <w:t>Step 6: Identify Measures to Reduce Risk</w:t>
      </w:r>
    </w:p>
    <w:p w14:paraId="78EC1B8D" w14:textId="77777777" w:rsidR="00A16CCD" w:rsidRDefault="00000000">
      <w:pPr>
        <w:pStyle w:val="Heading2"/>
      </w:pPr>
      <w:r>
        <w:t>Measures Taken by Medical Tracker</w:t>
      </w:r>
    </w:p>
    <w:p w14:paraId="14E9F5BF"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1"/>
        <w:gridCol w:w="4719"/>
        <w:gridCol w:w="1385"/>
        <w:gridCol w:w="1000"/>
        <w:gridCol w:w="1081"/>
      </w:tblGrid>
      <w:tr w:rsidR="00A16CCD" w14:paraId="31665DDC" w14:textId="77777777">
        <w:tblPrEx>
          <w:tblCellMar>
            <w:top w:w="0" w:type="dxa"/>
            <w:bottom w:w="0" w:type="dxa"/>
          </w:tblCellMar>
        </w:tblPrEx>
        <w:trPr>
          <w:tblHeader/>
        </w:trPr>
        <w:tc>
          <w:tcPr>
            <w:tcW w:w="8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6E856E16" w14:textId="77777777" w:rsidR="00A16CCD" w:rsidRDefault="00000000">
            <w:r>
              <w:rPr>
                <w:b/>
                <w:bCs/>
                <w:color w:val="FFFFFF"/>
                <w:sz w:val="18"/>
                <w:szCs w:val="18"/>
              </w:rPr>
              <w:t>Risk(s)</w:t>
            </w:r>
          </w:p>
        </w:tc>
        <w:tc>
          <w:tcPr>
            <w:tcW w:w="4826"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0FDD29B2" w14:textId="77777777" w:rsidR="00A16CCD" w:rsidRDefault="00000000">
            <w:r>
              <w:rPr>
                <w:b/>
                <w:bCs/>
                <w:color w:val="FFFFFF"/>
                <w:sz w:val="18"/>
                <w:szCs w:val="18"/>
              </w:rPr>
              <w:t>Measure</w:t>
            </w:r>
          </w:p>
        </w:tc>
        <w:tc>
          <w:tcPr>
            <w:tcW w:w="14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32955420" w14:textId="77777777" w:rsidR="00A16CCD" w:rsidRDefault="00000000">
            <w:r>
              <w:rPr>
                <w:b/>
                <w:bCs/>
                <w:color w:val="FFFFFF"/>
                <w:sz w:val="18"/>
                <w:szCs w:val="18"/>
              </w:rPr>
              <w:t>Effect on Risk</w:t>
            </w:r>
          </w:p>
        </w:tc>
        <w:tc>
          <w:tcPr>
            <w:tcW w:w="10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25C92DE3" w14:textId="77777777" w:rsidR="00A16CCD" w:rsidRDefault="00000000">
            <w:r>
              <w:rPr>
                <w:b/>
                <w:bCs/>
                <w:color w:val="FFFFFF"/>
                <w:sz w:val="18"/>
                <w:szCs w:val="18"/>
              </w:rPr>
              <w:t>Residual Risk</w:t>
            </w:r>
          </w:p>
        </w:tc>
        <w:tc>
          <w:tcPr>
            <w:tcW w:w="10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31F22446" w14:textId="77777777" w:rsidR="00A16CCD" w:rsidRDefault="00000000">
            <w:r>
              <w:rPr>
                <w:b/>
                <w:bCs/>
                <w:color w:val="FFFFFF"/>
                <w:sz w:val="18"/>
                <w:szCs w:val="18"/>
              </w:rPr>
              <w:t>Approved</w:t>
            </w:r>
          </w:p>
        </w:tc>
      </w:tr>
      <w:tr w:rsidR="00A16CCD" w14:paraId="60C4AEA2"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F2B7EE3"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2AFACA0" w14:textId="77777777" w:rsidR="00A16CCD" w:rsidRDefault="00000000">
            <w:r>
              <w:rPr>
                <w:sz w:val="18"/>
                <w:szCs w:val="18"/>
              </w:rPr>
              <w:t xml:space="preserve">Physical Access Controls: Medical Tracker shall take reasonable measures to prevent physical access, such as security personnel and secured buildings and premises, to prevent unauthorised persons from gaining access to personal </w:t>
            </w:r>
            <w:proofErr w:type="gramStart"/>
            <w:r>
              <w:rPr>
                <w:sz w:val="18"/>
                <w:szCs w:val="18"/>
              </w:rPr>
              <w:t>data, or</w:t>
            </w:r>
            <w:proofErr w:type="gramEnd"/>
            <w:r>
              <w:rPr>
                <w:sz w:val="18"/>
                <w:szCs w:val="18"/>
              </w:rPr>
              <w:t xml:space="preserve"> ensure third parties operating data centres on its behalf are adhering to such controls.</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87E27A8"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0AC40DFC"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1E593EA3" w14:textId="77777777" w:rsidR="00A16CCD" w:rsidRDefault="00000000">
            <w:r>
              <w:rPr>
                <w:i/>
                <w:iCs/>
                <w:color w:val="4A4A4A"/>
                <w:sz w:val="18"/>
                <w:szCs w:val="18"/>
              </w:rPr>
              <w:t>Yes / No</w:t>
            </w:r>
          </w:p>
        </w:tc>
      </w:tr>
      <w:tr w:rsidR="00A16CCD" w14:paraId="749669FE"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46C5843"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B82F341" w14:textId="77777777" w:rsidR="00A16CCD" w:rsidRDefault="00000000">
            <w:r>
              <w:rPr>
                <w:sz w:val="18"/>
                <w:szCs w:val="18"/>
              </w:rPr>
              <w:t>System Access Controls: Medical Tracker shall take reasonable measures to prevent personal data from being used without authorisation. These controls shall vary based on the nature of the processing undertaken and may include, among other controls: authentication via passwords; multi-factor authentication (MFA); single sign-on (SSO/SAML); documented authorisation processes; documented change management processes; and logging of access on several levels.</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69BAFAA0"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452DA943"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3C340B7" w14:textId="77777777" w:rsidR="00A16CCD" w:rsidRDefault="00000000">
            <w:r>
              <w:rPr>
                <w:i/>
                <w:iCs/>
                <w:color w:val="4A4A4A"/>
                <w:sz w:val="18"/>
                <w:szCs w:val="18"/>
              </w:rPr>
              <w:t>Yes / No</w:t>
            </w:r>
          </w:p>
        </w:tc>
      </w:tr>
      <w:tr w:rsidR="00A16CCD" w14:paraId="3F9F0BDE"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96D3A59"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E643295" w14:textId="77777777" w:rsidR="00A16CCD" w:rsidRDefault="00000000">
            <w:r>
              <w:rPr>
                <w:sz w:val="18"/>
                <w:szCs w:val="18"/>
              </w:rPr>
              <w:t>Data Access Controls: Medical Tracker shall take reasonable measures to provide that personal data is accessible and manageable only by properly authorised staff; direct database query access is restricted; application access rights are established and enforced to ensure that persons entitled to use a data processing system only have access to the personal data to which they have privilege of access; and that personal data cannot be read, copied, modified or removed without authorisation in the course of processing.</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4F57E8E"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3904F42A"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E17BC4A" w14:textId="77777777" w:rsidR="00A16CCD" w:rsidRDefault="00000000">
            <w:r>
              <w:rPr>
                <w:i/>
                <w:iCs/>
                <w:color w:val="4A4A4A"/>
                <w:sz w:val="18"/>
                <w:szCs w:val="18"/>
              </w:rPr>
              <w:t>Yes / No</w:t>
            </w:r>
          </w:p>
        </w:tc>
      </w:tr>
      <w:tr w:rsidR="00A16CCD" w14:paraId="42F9E19B"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3972B33"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69611E6A" w14:textId="77777777" w:rsidR="00A16CCD" w:rsidRDefault="00000000">
            <w:r>
              <w:rPr>
                <w:sz w:val="18"/>
                <w:szCs w:val="18"/>
              </w:rPr>
              <w:t>Transmission Controls: Medical Tracker shall take reasonable measures to ensure that it is possible to check and establish to which entities the transfer of personal data by means of data transmission facilities is envisaged, so data cannot be read, copied, modified or removed without authorisation during electronic transmission or transport.</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DD8AF02"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0CBECC27"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EAAA147" w14:textId="77777777" w:rsidR="00A16CCD" w:rsidRDefault="00000000">
            <w:r>
              <w:rPr>
                <w:i/>
                <w:iCs/>
                <w:color w:val="4A4A4A"/>
                <w:sz w:val="18"/>
                <w:szCs w:val="18"/>
              </w:rPr>
              <w:t>Yes / No</w:t>
            </w:r>
          </w:p>
        </w:tc>
      </w:tr>
      <w:tr w:rsidR="00A16CCD" w14:paraId="0AF76E7B"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750D5B9" w14:textId="77777777" w:rsidR="00A16CCD" w:rsidRDefault="00000000">
            <w:r>
              <w:rPr>
                <w:color w:val="4A4A4A"/>
                <w:sz w:val="16"/>
                <w:szCs w:val="16"/>
              </w:rPr>
              <w:t>R01, R03, R04, R06, R07, R09, R10, R12</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323C896" w14:textId="77777777" w:rsidR="00A16CCD" w:rsidRDefault="00000000">
            <w:r>
              <w:rPr>
                <w:sz w:val="18"/>
                <w:szCs w:val="18"/>
              </w:rPr>
              <w:t xml:space="preserve">Input Controls: Medical Tracker shall take reasonable measures to provide that it is possible to check and establish whether and by whom data has been </w:t>
            </w:r>
            <w:proofErr w:type="gramStart"/>
            <w:r>
              <w:rPr>
                <w:sz w:val="18"/>
                <w:szCs w:val="18"/>
              </w:rPr>
              <w:t>entered into</w:t>
            </w:r>
            <w:proofErr w:type="gramEnd"/>
            <w:r>
              <w:rPr>
                <w:sz w:val="18"/>
                <w:szCs w:val="18"/>
              </w:rPr>
              <w:t>, modified or removed from data processing systems. Medical Tracker shall take reasonable measures to ensure that (</w:t>
            </w:r>
            <w:proofErr w:type="spellStart"/>
            <w:r>
              <w:rPr>
                <w:sz w:val="18"/>
                <w:szCs w:val="18"/>
              </w:rPr>
              <w:t>i</w:t>
            </w:r>
            <w:proofErr w:type="spellEnd"/>
            <w:r>
              <w:rPr>
                <w:sz w:val="18"/>
                <w:szCs w:val="18"/>
              </w:rPr>
              <w:t>) the personal data source is under the control of the organisation; and (ii) personal data integrated into the service is managed by secured transmission from the organisation.</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ED30D0A"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11A81DB7"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988AA3A" w14:textId="77777777" w:rsidR="00A16CCD" w:rsidRDefault="00000000">
            <w:r>
              <w:rPr>
                <w:i/>
                <w:iCs/>
                <w:color w:val="4A4A4A"/>
                <w:sz w:val="18"/>
                <w:szCs w:val="18"/>
              </w:rPr>
              <w:t>Yes / No</w:t>
            </w:r>
          </w:p>
        </w:tc>
      </w:tr>
      <w:tr w:rsidR="00A16CCD" w14:paraId="6880CCFE"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1561E74" w14:textId="77777777" w:rsidR="00A16CCD" w:rsidRDefault="00000000">
            <w:r>
              <w:rPr>
                <w:color w:val="4A4A4A"/>
                <w:sz w:val="16"/>
                <w:szCs w:val="16"/>
              </w:rPr>
              <w:t>R01, R03, R04, R06, R07, R09, R10, R12</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6FDB23B3" w14:textId="77777777" w:rsidR="00A16CCD" w:rsidRDefault="00000000">
            <w:r>
              <w:rPr>
                <w:sz w:val="18"/>
                <w:szCs w:val="18"/>
              </w:rPr>
              <w:t>Data Backup: Regular back-ups of the databases in the service are taken, secured and encrypted to ensure that personal data is protected against accidental destruction or loss.</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4F588E2"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1A910D83"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9C01209" w14:textId="77777777" w:rsidR="00A16CCD" w:rsidRDefault="00000000">
            <w:r>
              <w:rPr>
                <w:i/>
                <w:iCs/>
                <w:color w:val="4A4A4A"/>
                <w:sz w:val="18"/>
                <w:szCs w:val="18"/>
              </w:rPr>
              <w:t>Yes / No</w:t>
            </w:r>
          </w:p>
        </w:tc>
      </w:tr>
      <w:tr w:rsidR="00A16CCD" w14:paraId="76C760B9"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045116E"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4BA64AD" w14:textId="77777777" w:rsidR="00A16CCD" w:rsidRDefault="00000000">
            <w:r>
              <w:rPr>
                <w:sz w:val="18"/>
                <w:szCs w:val="18"/>
              </w:rPr>
              <w:t>Data Security: Where appropriate and reasonable, Medical Tracker makes use of accepted data security controls including but not limited to encryption, pseudonymisation and anonymisation.</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DB53822"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0C3750CA"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1230018" w14:textId="77777777" w:rsidR="00A16CCD" w:rsidRDefault="00000000">
            <w:r>
              <w:rPr>
                <w:i/>
                <w:iCs/>
                <w:color w:val="4A4A4A"/>
                <w:sz w:val="18"/>
                <w:szCs w:val="18"/>
              </w:rPr>
              <w:t>Yes / No</w:t>
            </w:r>
          </w:p>
        </w:tc>
      </w:tr>
      <w:tr w:rsidR="00A16CCD" w14:paraId="5D61C373"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9D68866" w14:textId="77777777" w:rsidR="00A16CCD" w:rsidRDefault="00000000">
            <w:r>
              <w:rPr>
                <w:color w:val="4A4A4A"/>
                <w:sz w:val="16"/>
                <w:szCs w:val="16"/>
              </w:rPr>
              <w:lastRenderedPageBreak/>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163BA02D" w14:textId="77777777" w:rsidR="00A16CCD" w:rsidRDefault="00000000">
            <w:r>
              <w:rPr>
                <w:sz w:val="18"/>
                <w:szCs w:val="18"/>
              </w:rPr>
              <w:t>Logical Separation: Data from different customers is logically segregated on Medical Tracker’s systems to ensure that personal data that is collected for different purposes may be processed separately.</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87CA023"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301824A0"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941D3A9" w14:textId="77777777" w:rsidR="00A16CCD" w:rsidRDefault="00000000">
            <w:r>
              <w:rPr>
                <w:i/>
                <w:iCs/>
                <w:color w:val="4A4A4A"/>
                <w:sz w:val="18"/>
                <w:szCs w:val="18"/>
              </w:rPr>
              <w:t>Yes / No</w:t>
            </w:r>
          </w:p>
        </w:tc>
      </w:tr>
      <w:tr w:rsidR="00A16CCD" w14:paraId="27D83F61"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A93F071"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87BD479" w14:textId="77777777" w:rsidR="00A16CCD" w:rsidRDefault="00000000">
            <w:r>
              <w:rPr>
                <w:sz w:val="18"/>
                <w:szCs w:val="18"/>
              </w:rPr>
              <w:t>Network Security Controls: Medical Tracker shall implement appropriate network security controls based on risk assessment as it relates to data protection; commonly including firewalls, anti-malware, and system logging.</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193135A"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325A4507"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C16F595" w14:textId="77777777" w:rsidR="00A16CCD" w:rsidRDefault="00000000">
            <w:r>
              <w:rPr>
                <w:i/>
                <w:iCs/>
                <w:color w:val="4A4A4A"/>
                <w:sz w:val="18"/>
                <w:szCs w:val="18"/>
              </w:rPr>
              <w:t>Yes / No</w:t>
            </w:r>
          </w:p>
        </w:tc>
      </w:tr>
      <w:tr w:rsidR="00A16CCD" w14:paraId="75F7EA2E"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E043572" w14:textId="77777777" w:rsidR="00A16CCD" w:rsidRDefault="00000000">
            <w:r>
              <w:rPr>
                <w:color w:val="4A4A4A"/>
                <w:sz w:val="16"/>
                <w:szCs w:val="16"/>
              </w:rPr>
              <w:t>R01–R17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2831BA5" w14:textId="77777777" w:rsidR="00A16CCD" w:rsidRDefault="00000000">
            <w:r>
              <w:rPr>
                <w:sz w:val="18"/>
                <w:szCs w:val="18"/>
              </w:rPr>
              <w:t>Security Testing and Assurance: Medical Tracker shall establish mechanisms for testing and assessing the effectiveness of technical and organisational measures used for establishing data security.</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AC882DA"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6950AD0D"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70BACFA" w14:textId="77777777" w:rsidR="00A16CCD" w:rsidRDefault="00000000">
            <w:r>
              <w:rPr>
                <w:i/>
                <w:iCs/>
                <w:color w:val="4A4A4A"/>
                <w:sz w:val="18"/>
                <w:szCs w:val="18"/>
              </w:rPr>
              <w:t>Yes / No</w:t>
            </w:r>
          </w:p>
        </w:tc>
      </w:tr>
    </w:tbl>
    <w:p w14:paraId="42DFCE1D" w14:textId="77777777" w:rsidR="00A16CCD" w:rsidRDefault="00A16CCD">
      <w:pPr>
        <w:spacing w:after="160"/>
      </w:pPr>
    </w:p>
    <w:p w14:paraId="1EF2FB7D" w14:textId="77777777" w:rsidR="00A16CCD" w:rsidRDefault="00000000">
      <w:pPr>
        <w:pStyle w:val="Heading2"/>
      </w:pPr>
      <w:r>
        <w:t>Steps to be Taken by the Organisation</w:t>
      </w:r>
    </w:p>
    <w:p w14:paraId="6AA6B2CA"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1"/>
        <w:gridCol w:w="4718"/>
        <w:gridCol w:w="1386"/>
        <w:gridCol w:w="1000"/>
        <w:gridCol w:w="1081"/>
      </w:tblGrid>
      <w:tr w:rsidR="00A16CCD" w14:paraId="73369857" w14:textId="77777777">
        <w:tblPrEx>
          <w:tblCellMar>
            <w:top w:w="0" w:type="dxa"/>
            <w:bottom w:w="0" w:type="dxa"/>
          </w:tblCellMar>
        </w:tblPrEx>
        <w:trPr>
          <w:tblHeader/>
        </w:trPr>
        <w:tc>
          <w:tcPr>
            <w:tcW w:w="8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1825DB0F" w14:textId="77777777" w:rsidR="00A16CCD" w:rsidRDefault="00000000">
            <w:r>
              <w:rPr>
                <w:b/>
                <w:bCs/>
                <w:color w:val="FFFFFF"/>
                <w:sz w:val="18"/>
                <w:szCs w:val="18"/>
              </w:rPr>
              <w:t>Risk(s)</w:t>
            </w:r>
          </w:p>
        </w:tc>
        <w:tc>
          <w:tcPr>
            <w:tcW w:w="4826"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7F518299" w14:textId="77777777" w:rsidR="00A16CCD" w:rsidRDefault="00000000">
            <w:r>
              <w:rPr>
                <w:b/>
                <w:bCs/>
                <w:color w:val="FFFFFF"/>
                <w:sz w:val="18"/>
                <w:szCs w:val="18"/>
              </w:rPr>
              <w:t>Measure</w:t>
            </w:r>
          </w:p>
        </w:tc>
        <w:tc>
          <w:tcPr>
            <w:tcW w:w="14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750C119A" w14:textId="77777777" w:rsidR="00A16CCD" w:rsidRDefault="00000000">
            <w:r>
              <w:rPr>
                <w:b/>
                <w:bCs/>
                <w:color w:val="FFFFFF"/>
                <w:sz w:val="18"/>
                <w:szCs w:val="18"/>
              </w:rPr>
              <w:t>Effect on Risk</w:t>
            </w:r>
          </w:p>
        </w:tc>
        <w:tc>
          <w:tcPr>
            <w:tcW w:w="10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6B0C420B" w14:textId="77777777" w:rsidR="00A16CCD" w:rsidRDefault="00000000">
            <w:r>
              <w:rPr>
                <w:b/>
                <w:bCs/>
                <w:color w:val="FFFFFF"/>
                <w:sz w:val="18"/>
                <w:szCs w:val="18"/>
              </w:rPr>
              <w:t>Residual Risk</w:t>
            </w:r>
          </w:p>
        </w:tc>
        <w:tc>
          <w:tcPr>
            <w:tcW w:w="1000" w:type="dxa"/>
            <w:tcBorders>
              <w:top w:val="single" w:sz="1" w:space="0" w:color="E0E6ED"/>
              <w:left w:val="single" w:sz="1" w:space="0" w:color="E0E6ED"/>
              <w:bottom w:val="single" w:sz="1" w:space="0" w:color="E0E6ED"/>
              <w:right w:val="single" w:sz="1" w:space="0" w:color="E0E6ED"/>
            </w:tcBorders>
            <w:shd w:val="clear" w:color="auto" w:fill="1B3A6B"/>
            <w:tcMar>
              <w:top w:w="80" w:type="dxa"/>
              <w:left w:w="120" w:type="dxa"/>
              <w:bottom w:w="80" w:type="dxa"/>
              <w:right w:w="120" w:type="dxa"/>
            </w:tcMar>
          </w:tcPr>
          <w:p w14:paraId="504E9F00" w14:textId="77777777" w:rsidR="00A16CCD" w:rsidRDefault="00000000">
            <w:r>
              <w:rPr>
                <w:b/>
                <w:bCs/>
                <w:color w:val="FFFFFF"/>
                <w:sz w:val="18"/>
                <w:szCs w:val="18"/>
              </w:rPr>
              <w:t>Approved</w:t>
            </w:r>
          </w:p>
        </w:tc>
      </w:tr>
      <w:tr w:rsidR="00A16CCD" w14:paraId="426CFFF9"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107F3D8A" w14:textId="77777777" w:rsidR="00A16CCD" w:rsidRDefault="00000000">
            <w:r>
              <w:rPr>
                <w:color w:val="4A4A4A"/>
                <w:sz w:val="16"/>
                <w:szCs w:val="16"/>
              </w:rPr>
              <w:t>R04–R09,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C689B3D" w14:textId="77777777" w:rsidR="00A16CCD" w:rsidRDefault="00000000">
            <w:r>
              <w:rPr>
                <w:sz w:val="18"/>
                <w:szCs w:val="18"/>
              </w:rPr>
              <w:t>The organisation should ensure that staff do not leave computers unattended whilst logged in to Medical Tracker. A 20-minute inactivity timeout is available within the platform and organisations are encouraged to enable this.</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41877A2"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49B26116"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5B435DA9" w14:textId="77777777" w:rsidR="00A16CCD" w:rsidRDefault="00000000">
            <w:r>
              <w:rPr>
                <w:i/>
                <w:iCs/>
                <w:color w:val="4A4A4A"/>
                <w:sz w:val="18"/>
                <w:szCs w:val="18"/>
              </w:rPr>
              <w:t>Yes / No</w:t>
            </w:r>
          </w:p>
        </w:tc>
      </w:tr>
      <w:tr w:rsidR="00A16CCD" w14:paraId="6E3D682F"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6AA4DCA7" w14:textId="77777777" w:rsidR="00A16CCD" w:rsidRDefault="00000000">
            <w:r>
              <w:rPr>
                <w:color w:val="4A4A4A"/>
                <w:sz w:val="16"/>
                <w:szCs w:val="16"/>
              </w:rPr>
              <w:t>R04–R09,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1B1F3C5" w14:textId="77777777" w:rsidR="00A16CCD" w:rsidRDefault="00000000">
            <w:r>
              <w:rPr>
                <w:sz w:val="18"/>
                <w:szCs w:val="18"/>
              </w:rPr>
              <w:t>The organisation is responsible for communicating the importance of logging out of the platform or not leaving it unattended when not in use.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32E1A522"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1588D7A8"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3DC5F464" w14:textId="77777777" w:rsidR="00A16CCD" w:rsidRDefault="00000000">
            <w:r>
              <w:rPr>
                <w:i/>
                <w:iCs/>
                <w:color w:val="4A4A4A"/>
                <w:sz w:val="18"/>
                <w:szCs w:val="18"/>
              </w:rPr>
              <w:t>Yes / No</w:t>
            </w:r>
          </w:p>
        </w:tc>
      </w:tr>
      <w:tr w:rsidR="00A16CCD" w14:paraId="3BF9C160"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4D2B455" w14:textId="77777777" w:rsidR="00A16CCD" w:rsidRDefault="00000000">
            <w:r>
              <w:rPr>
                <w:color w:val="4A4A4A"/>
                <w:sz w:val="16"/>
                <w:szCs w:val="16"/>
              </w:rPr>
              <w:t>R04–R09,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25CF1E0" w14:textId="77777777" w:rsidR="00A16CCD" w:rsidRDefault="00000000">
            <w:r>
              <w:rPr>
                <w:sz w:val="18"/>
                <w:szCs w:val="18"/>
              </w:rPr>
              <w:t xml:space="preserve">Where the organisation uses Wonde or </w:t>
            </w:r>
            <w:proofErr w:type="spellStart"/>
            <w:r>
              <w:rPr>
                <w:sz w:val="18"/>
                <w:szCs w:val="18"/>
              </w:rPr>
              <w:t>Xporter</w:t>
            </w:r>
            <w:proofErr w:type="spellEnd"/>
            <w:r>
              <w:rPr>
                <w:sz w:val="18"/>
                <w:szCs w:val="18"/>
              </w:rPr>
              <w:t xml:space="preserve"> to sync data from their MIS, this connection is read-only. Neither Wonde nor </w:t>
            </w:r>
            <w:proofErr w:type="spellStart"/>
            <w:r>
              <w:rPr>
                <w:sz w:val="18"/>
                <w:szCs w:val="18"/>
              </w:rPr>
              <w:t>Xporter</w:t>
            </w:r>
            <w:proofErr w:type="spellEnd"/>
            <w:r>
              <w:rPr>
                <w:sz w:val="18"/>
                <w:szCs w:val="18"/>
              </w:rPr>
              <w:t xml:space="preserve"> store, use or view the data; their sole purpose is to transfer it securely into Medical Tracker.</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2B805C7"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08C2703F"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658E945" w14:textId="77777777" w:rsidR="00A16CCD" w:rsidRDefault="00000000">
            <w:r>
              <w:rPr>
                <w:i/>
                <w:iCs/>
                <w:color w:val="4A4A4A"/>
                <w:sz w:val="18"/>
                <w:szCs w:val="18"/>
              </w:rPr>
              <w:t>Yes / No</w:t>
            </w:r>
          </w:p>
        </w:tc>
      </w:tr>
      <w:tr w:rsidR="00A16CCD" w14:paraId="3BEA7BAD"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77C5A63" w14:textId="77777777" w:rsidR="00A16CCD" w:rsidRDefault="00000000">
            <w:r>
              <w:rPr>
                <w:color w:val="4A4A4A"/>
                <w:sz w:val="16"/>
                <w:szCs w:val="16"/>
              </w:rPr>
              <w:t>R04–R09,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8A471FC" w14:textId="77777777" w:rsidR="00A16CCD" w:rsidRDefault="00000000">
            <w:r>
              <w:rPr>
                <w:sz w:val="18"/>
                <w:szCs w:val="18"/>
              </w:rPr>
              <w:t>Multi-factor authentication (MFA) is available within the Medical Tracker platform and organisations are encouraged to enable this for all users to provide an additional layer of security. Single Sign-On (SSO/SAML) is also available for organisations that wish to use it.</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7B5D1A6"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7538A5F1"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19430A2F" w14:textId="77777777" w:rsidR="00A16CCD" w:rsidRDefault="00000000">
            <w:r>
              <w:rPr>
                <w:i/>
                <w:iCs/>
                <w:color w:val="4A4A4A"/>
                <w:sz w:val="18"/>
                <w:szCs w:val="18"/>
              </w:rPr>
              <w:t>Yes / No</w:t>
            </w:r>
          </w:p>
        </w:tc>
      </w:tr>
      <w:tr w:rsidR="00A16CCD" w14:paraId="04C49DCE"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D976414" w14:textId="77777777" w:rsidR="00A16CCD" w:rsidRDefault="00000000">
            <w:r>
              <w:rPr>
                <w:color w:val="4A4A4A"/>
                <w:sz w:val="16"/>
                <w:szCs w:val="16"/>
              </w:rPr>
              <w:t>R04–R09,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3E73101" w14:textId="77777777" w:rsidR="00A16CCD" w:rsidRDefault="00000000">
            <w:r>
              <w:rPr>
                <w:sz w:val="18"/>
                <w:szCs w:val="18"/>
              </w:rPr>
              <w:t>Ensuring strict access controls are in place and strong passwords are required.</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74FAFC1"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47166863"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1AF7FBF" w14:textId="77777777" w:rsidR="00A16CCD" w:rsidRDefault="00000000">
            <w:r>
              <w:rPr>
                <w:i/>
                <w:iCs/>
                <w:color w:val="4A4A4A"/>
                <w:sz w:val="18"/>
                <w:szCs w:val="18"/>
              </w:rPr>
              <w:t>Yes / No</w:t>
            </w:r>
          </w:p>
        </w:tc>
      </w:tr>
      <w:tr w:rsidR="00A16CCD" w14:paraId="4B11970B"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5E68C08" w14:textId="77777777" w:rsidR="00A16CCD" w:rsidRDefault="00000000">
            <w:r>
              <w:rPr>
                <w:color w:val="4A4A4A"/>
                <w:sz w:val="16"/>
                <w:szCs w:val="16"/>
              </w:rPr>
              <w:t>R01–R09,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896B81D" w14:textId="77777777" w:rsidR="00A16CCD" w:rsidRDefault="00000000">
            <w:r>
              <w:rPr>
                <w:sz w:val="18"/>
                <w:szCs w:val="18"/>
              </w:rPr>
              <w:t>Ensuring safeguarding protocols are communicated to all users.</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9222CFE"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3F24DAE0"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3ED8B9C" w14:textId="77777777" w:rsidR="00A16CCD" w:rsidRDefault="00000000">
            <w:r>
              <w:rPr>
                <w:i/>
                <w:iCs/>
                <w:color w:val="4A4A4A"/>
                <w:sz w:val="18"/>
                <w:szCs w:val="18"/>
              </w:rPr>
              <w:t>Yes / No</w:t>
            </w:r>
          </w:p>
        </w:tc>
      </w:tr>
      <w:tr w:rsidR="00A16CCD" w14:paraId="065A9F32"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CDC63C0" w14:textId="77777777" w:rsidR="00A16CCD" w:rsidRDefault="00000000">
            <w:r>
              <w:rPr>
                <w:color w:val="4A4A4A"/>
                <w:sz w:val="16"/>
                <w:szCs w:val="16"/>
              </w:rPr>
              <w:t>R01–R09, R14, R17</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DEBA607" w14:textId="77777777" w:rsidR="00A16CCD" w:rsidRDefault="00000000">
            <w:r>
              <w:rPr>
                <w:sz w:val="18"/>
                <w:szCs w:val="18"/>
              </w:rPr>
              <w:t>Regular security reviews.</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44D15F6"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5C5059C7"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11911837" w14:textId="77777777" w:rsidR="00A16CCD" w:rsidRDefault="00000000">
            <w:r>
              <w:rPr>
                <w:i/>
                <w:iCs/>
                <w:color w:val="4A4A4A"/>
                <w:sz w:val="18"/>
                <w:szCs w:val="18"/>
              </w:rPr>
              <w:t>Yes / No</w:t>
            </w:r>
          </w:p>
        </w:tc>
      </w:tr>
      <w:tr w:rsidR="00A16CCD" w14:paraId="4A513967"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D99F0E4" w14:textId="77777777" w:rsidR="00A16CCD" w:rsidRDefault="00000000">
            <w:r>
              <w:rPr>
                <w:color w:val="4A4A4A"/>
                <w:sz w:val="16"/>
                <w:szCs w:val="16"/>
              </w:rPr>
              <w:t>R01–R09, R14, R17, R18–R20</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5BB4FB7" w14:textId="77777777" w:rsidR="00A16CCD" w:rsidRDefault="00000000">
            <w:r>
              <w:rPr>
                <w:sz w:val="18"/>
                <w:szCs w:val="18"/>
              </w:rPr>
              <w:t>Training for staff.</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DEE071C"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1F9378BE"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78BD402" w14:textId="77777777" w:rsidR="00A16CCD" w:rsidRDefault="00000000">
            <w:r>
              <w:rPr>
                <w:i/>
                <w:iCs/>
                <w:color w:val="4A4A4A"/>
                <w:sz w:val="18"/>
                <w:szCs w:val="18"/>
              </w:rPr>
              <w:t>Yes / No</w:t>
            </w:r>
          </w:p>
        </w:tc>
      </w:tr>
      <w:tr w:rsidR="00A16CCD" w14:paraId="72644BC8"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2913F4D1" w14:textId="77777777" w:rsidR="00A16CCD" w:rsidRDefault="00000000">
            <w:r>
              <w:rPr>
                <w:color w:val="4A4A4A"/>
                <w:sz w:val="16"/>
                <w:szCs w:val="16"/>
              </w:rPr>
              <w:lastRenderedPageBreak/>
              <w:t>R01–R09, R14, R17, R18–R20</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7DA3CBF1" w14:textId="77777777" w:rsidR="00A16CCD" w:rsidRDefault="00000000">
            <w:r>
              <w:rPr>
                <w:sz w:val="18"/>
                <w:szCs w:val="18"/>
              </w:rPr>
              <w:t>Writing internal guidance or processes to avoid risks (organisational policy).</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FD3CA79"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4B0B496A"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0B0C4FF6" w14:textId="77777777" w:rsidR="00A16CCD" w:rsidRDefault="00000000">
            <w:r>
              <w:rPr>
                <w:i/>
                <w:iCs/>
                <w:color w:val="4A4A4A"/>
                <w:sz w:val="18"/>
                <w:szCs w:val="18"/>
              </w:rPr>
              <w:t>Yes / No</w:t>
            </w:r>
          </w:p>
        </w:tc>
      </w:tr>
      <w:tr w:rsidR="00A16CCD" w14:paraId="248CB8B7"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0CBC396F" w14:textId="77777777" w:rsidR="00A16CCD" w:rsidRDefault="00000000">
            <w:r>
              <w:rPr>
                <w:color w:val="4A4A4A"/>
                <w:sz w:val="16"/>
                <w:szCs w:val="16"/>
              </w:rPr>
              <w:t>R01, R03, R14, R17–R20</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BF421E1" w14:textId="77777777" w:rsidR="00A16CCD" w:rsidRDefault="00000000">
            <w:r>
              <w:rPr>
                <w:sz w:val="18"/>
                <w:szCs w:val="18"/>
              </w:rPr>
              <w:t>Reviewing retention periods.</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4FC48450"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4114C728"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5529180E" w14:textId="77777777" w:rsidR="00A16CCD" w:rsidRDefault="00000000">
            <w:r>
              <w:rPr>
                <w:i/>
                <w:iCs/>
                <w:color w:val="4A4A4A"/>
                <w:sz w:val="18"/>
                <w:szCs w:val="18"/>
              </w:rPr>
              <w:t>Yes / No</w:t>
            </w:r>
          </w:p>
        </w:tc>
      </w:tr>
      <w:tr w:rsidR="00A16CCD" w14:paraId="287B65D0"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596FFF9" w14:textId="77777777" w:rsidR="00A16CCD" w:rsidRDefault="00000000">
            <w:r>
              <w:rPr>
                <w:color w:val="4A4A4A"/>
                <w:sz w:val="16"/>
                <w:szCs w:val="16"/>
              </w:rPr>
              <w:t>R13, R14, R18, R19</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CE6D5D6" w14:textId="77777777" w:rsidR="00A16CCD" w:rsidRDefault="00000000">
            <w:r>
              <w:rPr>
                <w:sz w:val="18"/>
                <w:szCs w:val="18"/>
              </w:rPr>
              <w:t>Reducing the scope of the processing.</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EA65F8A"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5FAC0114"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64B25533" w14:textId="77777777" w:rsidR="00A16CCD" w:rsidRDefault="00000000">
            <w:r>
              <w:rPr>
                <w:i/>
                <w:iCs/>
                <w:color w:val="4A4A4A"/>
                <w:sz w:val="18"/>
                <w:szCs w:val="18"/>
              </w:rPr>
              <w:t>Yes / No</w:t>
            </w:r>
          </w:p>
        </w:tc>
      </w:tr>
      <w:tr w:rsidR="00A16CCD" w14:paraId="2A2A45B6"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0FD9FB3" w14:textId="77777777" w:rsidR="00A16CCD" w:rsidRDefault="00000000">
            <w:r>
              <w:rPr>
                <w:color w:val="4A4A4A"/>
                <w:sz w:val="16"/>
                <w:szCs w:val="16"/>
              </w:rPr>
              <w:t>R13, R15, R16, R18–R20</w:t>
            </w:r>
          </w:p>
        </w:tc>
        <w:tc>
          <w:tcPr>
            <w:tcW w:w="4826"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3CE46647" w14:textId="77777777" w:rsidR="00A16CCD" w:rsidRDefault="00000000">
            <w:r>
              <w:rPr>
                <w:sz w:val="18"/>
                <w:szCs w:val="18"/>
              </w:rPr>
              <w:t>Ensuring a clear data sharing agreement is in place.</w:t>
            </w:r>
          </w:p>
        </w:tc>
        <w:tc>
          <w:tcPr>
            <w:tcW w:w="14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213479E0"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7534562C"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5F7FA"/>
            <w:tcMar>
              <w:top w:w="60" w:type="dxa"/>
              <w:left w:w="120" w:type="dxa"/>
              <w:bottom w:w="60" w:type="dxa"/>
              <w:right w:w="120" w:type="dxa"/>
            </w:tcMar>
          </w:tcPr>
          <w:p w14:paraId="73DAC0FB" w14:textId="77777777" w:rsidR="00A16CCD" w:rsidRDefault="00000000">
            <w:r>
              <w:rPr>
                <w:i/>
                <w:iCs/>
                <w:color w:val="4A4A4A"/>
                <w:sz w:val="18"/>
                <w:szCs w:val="18"/>
              </w:rPr>
              <w:t>Yes / No</w:t>
            </w:r>
          </w:p>
        </w:tc>
      </w:tr>
      <w:tr w:rsidR="00A16CCD" w14:paraId="790EA902" w14:textId="77777777">
        <w:tblPrEx>
          <w:tblCellMar>
            <w:top w:w="0" w:type="dxa"/>
            <w:bottom w:w="0" w:type="dxa"/>
          </w:tblCellMar>
        </w:tblPrEx>
        <w:tc>
          <w:tcPr>
            <w:tcW w:w="8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2C11994" w14:textId="77777777" w:rsidR="00A16CCD" w:rsidRDefault="00000000">
            <w:r>
              <w:rPr>
                <w:color w:val="4A4A4A"/>
                <w:sz w:val="16"/>
                <w:szCs w:val="16"/>
              </w:rPr>
              <w:t>R18, R19</w:t>
            </w:r>
          </w:p>
        </w:tc>
        <w:tc>
          <w:tcPr>
            <w:tcW w:w="4826"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4FF2107" w14:textId="77777777" w:rsidR="00A16CCD" w:rsidRDefault="00000000">
            <w:r>
              <w:rPr>
                <w:sz w:val="18"/>
                <w:szCs w:val="18"/>
              </w:rPr>
              <w:t>Making changes to the privacy notices.</w:t>
            </w:r>
          </w:p>
        </w:tc>
        <w:tc>
          <w:tcPr>
            <w:tcW w:w="14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3AA2D05A" w14:textId="77777777" w:rsidR="00A16CCD" w:rsidRDefault="00000000">
            <w:r>
              <w:rPr>
                <w:sz w:val="18"/>
                <w:szCs w:val="18"/>
              </w:rPr>
              <w:t>Reduced</w:t>
            </w:r>
          </w:p>
        </w:tc>
        <w:tc>
          <w:tcPr>
            <w:tcW w:w="1000" w:type="dxa"/>
            <w:tcBorders>
              <w:top w:val="single" w:sz="1" w:space="0" w:color="E0E6ED"/>
              <w:left w:val="single" w:sz="1" w:space="0" w:color="E0E6ED"/>
              <w:bottom w:val="single" w:sz="1" w:space="0" w:color="E0E6ED"/>
              <w:right w:val="single" w:sz="1" w:space="0" w:color="E0E6ED"/>
            </w:tcBorders>
            <w:shd w:val="clear" w:color="auto" w:fill="D5F5E3"/>
            <w:tcMar>
              <w:top w:w="60" w:type="dxa"/>
              <w:left w:w="120" w:type="dxa"/>
              <w:bottom w:w="60" w:type="dxa"/>
              <w:right w:w="120" w:type="dxa"/>
            </w:tcMar>
          </w:tcPr>
          <w:p w14:paraId="131FD920" w14:textId="77777777" w:rsidR="00A16CCD" w:rsidRDefault="00000000">
            <w:r>
              <w:rPr>
                <w:b/>
                <w:bCs/>
                <w:color w:val="1E8449"/>
                <w:sz w:val="18"/>
                <w:szCs w:val="18"/>
              </w:rPr>
              <w:t>Low</w:t>
            </w:r>
          </w:p>
        </w:tc>
        <w:tc>
          <w:tcPr>
            <w:tcW w:w="1000" w:type="dxa"/>
            <w:tcBorders>
              <w:top w:val="single" w:sz="1" w:space="0" w:color="E0E6ED"/>
              <w:left w:val="single" w:sz="1" w:space="0" w:color="E0E6ED"/>
              <w:bottom w:val="single" w:sz="1" w:space="0" w:color="E0E6ED"/>
              <w:right w:val="single" w:sz="1" w:space="0" w:color="E0E6ED"/>
            </w:tcBorders>
            <w:shd w:val="clear" w:color="auto" w:fill="FFFFFF"/>
            <w:tcMar>
              <w:top w:w="60" w:type="dxa"/>
              <w:left w:w="120" w:type="dxa"/>
              <w:bottom w:w="60" w:type="dxa"/>
              <w:right w:w="120" w:type="dxa"/>
            </w:tcMar>
          </w:tcPr>
          <w:p w14:paraId="47D95E97" w14:textId="77777777" w:rsidR="00A16CCD" w:rsidRDefault="00000000">
            <w:r>
              <w:rPr>
                <w:i/>
                <w:iCs/>
                <w:color w:val="4A4A4A"/>
                <w:sz w:val="18"/>
                <w:szCs w:val="18"/>
              </w:rPr>
              <w:t>Yes / No</w:t>
            </w:r>
          </w:p>
        </w:tc>
      </w:tr>
    </w:tbl>
    <w:p w14:paraId="4276AFFB" w14:textId="77777777" w:rsidR="00A16CCD" w:rsidRDefault="00A16CCD">
      <w:pPr>
        <w:spacing w:after="200"/>
      </w:pPr>
    </w:p>
    <w:p w14:paraId="5E4A0C92" w14:textId="77777777" w:rsidR="00A16CCD" w:rsidRDefault="00000000">
      <w:r>
        <w:br w:type="page"/>
      </w:r>
    </w:p>
    <w:p w14:paraId="59D11574" w14:textId="77777777" w:rsidR="00A16CCD" w:rsidRDefault="00000000">
      <w:pPr>
        <w:pStyle w:val="Heading1"/>
        <w:pBdr>
          <w:bottom w:val="single" w:sz="8" w:space="4" w:color="2E6DA4"/>
        </w:pBdr>
      </w:pPr>
      <w:r>
        <w:lastRenderedPageBreak/>
        <w:t>Step 7: Sign Off and Record Outcomes</w:t>
      </w:r>
    </w:p>
    <w:p w14:paraId="4530E9DE" w14:textId="77777777" w:rsidR="00A16CCD" w:rsidRDefault="00000000">
      <w:pPr>
        <w:spacing w:before="80" w:after="120"/>
      </w:pPr>
      <w:r>
        <w:t>This section should be completed by the organisation. All entries should include the name, position and date of the relevant individual.</w:t>
      </w:r>
    </w:p>
    <w:p w14:paraId="0088C49E" w14:textId="77777777" w:rsidR="00A16CCD" w:rsidRDefault="00A16CC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16CCD" w14:paraId="5F127395"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19EB8225" w14:textId="77777777" w:rsidR="00A16CCD" w:rsidRDefault="00000000">
            <w:r>
              <w:rPr>
                <w:b/>
                <w:bCs/>
                <w:color w:val="1B3A6B"/>
                <w:sz w:val="18"/>
                <w:szCs w:val="18"/>
              </w:rPr>
              <w:t>Measures approved by:</w:t>
            </w:r>
          </w:p>
        </w:tc>
        <w:tc>
          <w:tcPr>
            <w:tcW w:w="6026" w:type="dxa"/>
            <w:tcBorders>
              <w:top w:val="single" w:sz="1" w:space="0" w:color="E0E6ED"/>
              <w:left w:val="single" w:sz="1" w:space="0" w:color="E0E6ED"/>
              <w:bottom w:val="single" w:sz="1" w:space="0" w:color="E0E6ED"/>
              <w:right w:val="single" w:sz="1" w:space="0" w:color="E0E6ED"/>
            </w:tcBorders>
            <w:shd w:val="clear" w:color="auto" w:fill="FFFFFF"/>
            <w:tcMar>
              <w:top w:w="80" w:type="dxa"/>
              <w:left w:w="120" w:type="dxa"/>
              <w:bottom w:w="80" w:type="dxa"/>
              <w:right w:w="120" w:type="dxa"/>
            </w:tcMar>
          </w:tcPr>
          <w:p w14:paraId="7AEC8760" w14:textId="77777777" w:rsidR="00A16CCD" w:rsidRDefault="00000000">
            <w:r>
              <w:rPr>
                <w:i/>
                <w:iCs/>
                <w:color w:val="4A4A4A"/>
                <w:sz w:val="18"/>
                <w:szCs w:val="18"/>
              </w:rPr>
              <w:t>Name, position and date</w:t>
            </w:r>
          </w:p>
        </w:tc>
      </w:tr>
      <w:tr w:rsidR="00A16CCD" w14:paraId="3D4AD3F3"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61E90D65" w14:textId="77777777" w:rsidR="00A16CCD" w:rsidRDefault="00000000">
            <w:r>
              <w:rPr>
                <w:b/>
                <w:bCs/>
                <w:color w:val="1B3A6B"/>
                <w:sz w:val="18"/>
                <w:szCs w:val="18"/>
              </w:rPr>
              <w:t>Residual risks approved by:</w:t>
            </w:r>
          </w:p>
        </w:tc>
        <w:tc>
          <w:tcPr>
            <w:tcW w:w="6026" w:type="dxa"/>
            <w:tcBorders>
              <w:top w:val="single" w:sz="1" w:space="0" w:color="E0E6ED"/>
              <w:left w:val="single" w:sz="1" w:space="0" w:color="E0E6ED"/>
              <w:bottom w:val="single" w:sz="1" w:space="0" w:color="E0E6ED"/>
              <w:right w:val="single" w:sz="1" w:space="0" w:color="E0E6ED"/>
            </w:tcBorders>
            <w:shd w:val="clear" w:color="auto" w:fill="F5F7FA"/>
            <w:tcMar>
              <w:top w:w="80" w:type="dxa"/>
              <w:left w:w="120" w:type="dxa"/>
              <w:bottom w:w="80" w:type="dxa"/>
              <w:right w:w="120" w:type="dxa"/>
            </w:tcMar>
          </w:tcPr>
          <w:p w14:paraId="44B3B59B" w14:textId="77777777" w:rsidR="00A16CCD" w:rsidRDefault="00000000">
            <w:r>
              <w:rPr>
                <w:i/>
                <w:iCs/>
                <w:color w:val="4A4A4A"/>
                <w:sz w:val="18"/>
                <w:szCs w:val="18"/>
              </w:rPr>
              <w:t>Name, position and date. Note: consult the ICO if accepting any residual high risk</w:t>
            </w:r>
          </w:p>
        </w:tc>
      </w:tr>
      <w:tr w:rsidR="00A16CCD" w14:paraId="40B6122C"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7AB1E68B" w14:textId="77777777" w:rsidR="00A16CCD" w:rsidRDefault="00000000">
            <w:r>
              <w:rPr>
                <w:b/>
                <w:bCs/>
                <w:color w:val="1B3A6B"/>
                <w:sz w:val="18"/>
                <w:szCs w:val="18"/>
              </w:rPr>
              <w:t>DPO advice provided:</w:t>
            </w:r>
          </w:p>
        </w:tc>
        <w:tc>
          <w:tcPr>
            <w:tcW w:w="6026" w:type="dxa"/>
            <w:tcBorders>
              <w:top w:val="single" w:sz="1" w:space="0" w:color="E0E6ED"/>
              <w:left w:val="single" w:sz="1" w:space="0" w:color="E0E6ED"/>
              <w:bottom w:val="single" w:sz="1" w:space="0" w:color="E0E6ED"/>
              <w:right w:val="single" w:sz="1" w:space="0" w:color="E0E6ED"/>
            </w:tcBorders>
            <w:shd w:val="clear" w:color="auto" w:fill="FFFFFF"/>
            <w:tcMar>
              <w:top w:w="80" w:type="dxa"/>
              <w:left w:w="120" w:type="dxa"/>
              <w:bottom w:w="80" w:type="dxa"/>
              <w:right w:w="120" w:type="dxa"/>
            </w:tcMar>
          </w:tcPr>
          <w:p w14:paraId="15E65776" w14:textId="77777777" w:rsidR="00A16CCD" w:rsidRDefault="00000000">
            <w:r>
              <w:rPr>
                <w:i/>
                <w:iCs/>
                <w:color w:val="4A4A4A"/>
                <w:sz w:val="18"/>
                <w:szCs w:val="18"/>
              </w:rPr>
              <w:t>Name, position and date</w:t>
            </w:r>
          </w:p>
        </w:tc>
      </w:tr>
      <w:tr w:rsidR="00A16CCD" w14:paraId="4C0F06B0"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23E406B1" w14:textId="77777777" w:rsidR="00A16CCD" w:rsidRDefault="00000000">
            <w:r>
              <w:rPr>
                <w:b/>
                <w:bCs/>
                <w:color w:val="1B3A6B"/>
                <w:sz w:val="18"/>
                <w:szCs w:val="18"/>
              </w:rPr>
              <w:t>Summary of DPO advice:</w:t>
            </w:r>
          </w:p>
        </w:tc>
        <w:tc>
          <w:tcPr>
            <w:tcW w:w="6026" w:type="dxa"/>
            <w:tcBorders>
              <w:top w:val="single" w:sz="1" w:space="0" w:color="E0E6ED"/>
              <w:left w:val="single" w:sz="1" w:space="0" w:color="E0E6ED"/>
              <w:bottom w:val="single" w:sz="1" w:space="0" w:color="E0E6ED"/>
              <w:right w:val="single" w:sz="1" w:space="0" w:color="E0E6ED"/>
            </w:tcBorders>
            <w:shd w:val="clear" w:color="auto" w:fill="F5F7FA"/>
            <w:tcMar>
              <w:top w:w="80" w:type="dxa"/>
              <w:left w:w="120" w:type="dxa"/>
              <w:bottom w:w="80" w:type="dxa"/>
              <w:right w:w="120" w:type="dxa"/>
            </w:tcMar>
          </w:tcPr>
          <w:p w14:paraId="7DE16C92" w14:textId="77777777" w:rsidR="00A16CCD" w:rsidRDefault="00000000">
            <w:r>
              <w:rPr>
                <w:i/>
                <w:iCs/>
                <w:color w:val="4A4A4A"/>
                <w:sz w:val="18"/>
                <w:szCs w:val="18"/>
              </w:rPr>
              <w:t>Record DPO advice here</w:t>
            </w:r>
          </w:p>
        </w:tc>
      </w:tr>
      <w:tr w:rsidR="00A16CCD" w14:paraId="42B0F0C7"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77806C1F" w14:textId="77777777" w:rsidR="00A16CCD" w:rsidRDefault="00000000">
            <w:r>
              <w:rPr>
                <w:b/>
                <w:bCs/>
                <w:color w:val="1B3A6B"/>
                <w:sz w:val="18"/>
                <w:szCs w:val="18"/>
              </w:rPr>
              <w:t>DPO advice accepted or overruled by:</w:t>
            </w:r>
          </w:p>
        </w:tc>
        <w:tc>
          <w:tcPr>
            <w:tcW w:w="6026" w:type="dxa"/>
            <w:tcBorders>
              <w:top w:val="single" w:sz="1" w:space="0" w:color="E0E6ED"/>
              <w:left w:val="single" w:sz="1" w:space="0" w:color="E0E6ED"/>
              <w:bottom w:val="single" w:sz="1" w:space="0" w:color="E0E6ED"/>
              <w:right w:val="single" w:sz="1" w:space="0" w:color="E0E6ED"/>
            </w:tcBorders>
            <w:shd w:val="clear" w:color="auto" w:fill="FFFFFF"/>
            <w:tcMar>
              <w:top w:w="80" w:type="dxa"/>
              <w:left w:w="120" w:type="dxa"/>
              <w:bottom w:w="80" w:type="dxa"/>
              <w:right w:w="120" w:type="dxa"/>
            </w:tcMar>
          </w:tcPr>
          <w:p w14:paraId="14C0C778" w14:textId="77777777" w:rsidR="00A16CCD" w:rsidRDefault="00000000">
            <w:r>
              <w:rPr>
                <w:i/>
                <w:iCs/>
                <w:color w:val="4A4A4A"/>
                <w:sz w:val="18"/>
                <w:szCs w:val="18"/>
              </w:rPr>
              <w:t>Name, position and date. If overruled, record reasons below</w:t>
            </w:r>
          </w:p>
        </w:tc>
      </w:tr>
      <w:tr w:rsidR="00A16CCD" w14:paraId="42DF54CF"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1911E640" w14:textId="77777777" w:rsidR="00A16CCD" w:rsidRDefault="00000000">
            <w:r>
              <w:rPr>
                <w:b/>
                <w:bCs/>
                <w:color w:val="1B3A6B"/>
                <w:sz w:val="18"/>
                <w:szCs w:val="18"/>
              </w:rPr>
              <w:t>Comments:</w:t>
            </w:r>
          </w:p>
        </w:tc>
        <w:tc>
          <w:tcPr>
            <w:tcW w:w="6026" w:type="dxa"/>
            <w:tcBorders>
              <w:top w:val="single" w:sz="1" w:space="0" w:color="E0E6ED"/>
              <w:left w:val="single" w:sz="1" w:space="0" w:color="E0E6ED"/>
              <w:bottom w:val="single" w:sz="1" w:space="0" w:color="E0E6ED"/>
              <w:right w:val="single" w:sz="1" w:space="0" w:color="E0E6ED"/>
            </w:tcBorders>
            <w:shd w:val="clear" w:color="auto" w:fill="F5F7FA"/>
            <w:tcMar>
              <w:top w:w="80" w:type="dxa"/>
              <w:left w:w="120" w:type="dxa"/>
              <w:bottom w:w="80" w:type="dxa"/>
              <w:right w:w="120" w:type="dxa"/>
            </w:tcMar>
          </w:tcPr>
          <w:p w14:paraId="5EBAE490" w14:textId="77777777" w:rsidR="00A16CCD" w:rsidRDefault="00000000">
            <w:r>
              <w:rPr>
                <w:i/>
                <w:iCs/>
                <w:color w:val="4A4A4A"/>
                <w:sz w:val="18"/>
                <w:szCs w:val="18"/>
              </w:rPr>
              <w:t>Record any comments here</w:t>
            </w:r>
          </w:p>
        </w:tc>
      </w:tr>
      <w:tr w:rsidR="00A16CCD" w14:paraId="1F9700DA" w14:textId="77777777">
        <w:tblPrEx>
          <w:tblCellMar>
            <w:top w:w="0" w:type="dxa"/>
            <w:bottom w:w="0" w:type="dxa"/>
          </w:tblCellMar>
        </w:tblPrEx>
        <w:tc>
          <w:tcPr>
            <w:tcW w:w="3000" w:type="dxa"/>
            <w:tcBorders>
              <w:top w:val="single" w:sz="1" w:space="0" w:color="E0E6ED"/>
              <w:left w:val="single" w:sz="1" w:space="0" w:color="E0E6ED"/>
              <w:bottom w:val="single" w:sz="1" w:space="0" w:color="E0E6ED"/>
              <w:right w:val="single" w:sz="1" w:space="0" w:color="E0E6ED"/>
            </w:tcBorders>
            <w:shd w:val="clear" w:color="auto" w:fill="D6E4F0"/>
            <w:tcMar>
              <w:top w:w="80" w:type="dxa"/>
              <w:left w:w="120" w:type="dxa"/>
              <w:bottom w:w="80" w:type="dxa"/>
              <w:right w:w="120" w:type="dxa"/>
            </w:tcMar>
          </w:tcPr>
          <w:p w14:paraId="0CC563A4" w14:textId="77777777" w:rsidR="00A16CCD" w:rsidRDefault="00000000">
            <w:r>
              <w:rPr>
                <w:b/>
                <w:bCs/>
                <w:color w:val="1B3A6B"/>
                <w:sz w:val="18"/>
                <w:szCs w:val="18"/>
              </w:rPr>
              <w:t>This DPIA will be kept under review by:</w:t>
            </w:r>
          </w:p>
        </w:tc>
        <w:tc>
          <w:tcPr>
            <w:tcW w:w="6026" w:type="dxa"/>
            <w:tcBorders>
              <w:top w:val="single" w:sz="1" w:space="0" w:color="E0E6ED"/>
              <w:left w:val="single" w:sz="1" w:space="0" w:color="E0E6ED"/>
              <w:bottom w:val="single" w:sz="1" w:space="0" w:color="E0E6ED"/>
              <w:right w:val="single" w:sz="1" w:space="0" w:color="E0E6ED"/>
            </w:tcBorders>
            <w:shd w:val="clear" w:color="auto" w:fill="FFFFFF"/>
            <w:tcMar>
              <w:top w:w="80" w:type="dxa"/>
              <w:left w:w="120" w:type="dxa"/>
              <w:bottom w:w="80" w:type="dxa"/>
              <w:right w:w="120" w:type="dxa"/>
            </w:tcMar>
          </w:tcPr>
          <w:p w14:paraId="0B8C4746" w14:textId="77777777" w:rsidR="00A16CCD" w:rsidRDefault="00000000">
            <w:r>
              <w:rPr>
                <w:i/>
                <w:iCs/>
                <w:color w:val="4A4A4A"/>
                <w:sz w:val="18"/>
                <w:szCs w:val="18"/>
              </w:rPr>
              <w:t>Name, position and date</w:t>
            </w:r>
          </w:p>
        </w:tc>
      </w:tr>
    </w:tbl>
    <w:p w14:paraId="7F087C6A" w14:textId="77777777" w:rsidR="00A16CCD" w:rsidRDefault="00A16CCD">
      <w:pPr>
        <w:spacing w:after="200"/>
      </w:pPr>
    </w:p>
    <w:sectPr w:rsidR="00A16CCD">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5E1B" w14:textId="77777777" w:rsidR="00A945F3" w:rsidRDefault="00A945F3">
      <w:r>
        <w:separator/>
      </w:r>
    </w:p>
  </w:endnote>
  <w:endnote w:type="continuationSeparator" w:id="0">
    <w:p w14:paraId="1E4092FA" w14:textId="77777777" w:rsidR="00A945F3" w:rsidRDefault="00A9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8D25" w14:textId="77777777" w:rsidR="00A16CCD" w:rsidRDefault="00000000">
    <w:pPr>
      <w:pBdr>
        <w:top w:val="single" w:sz="6" w:space="4" w:color="2E6DA4"/>
      </w:pBdr>
      <w:tabs>
        <w:tab w:val="right" w:pos="9026"/>
      </w:tabs>
      <w:spacing w:before="200"/>
    </w:pPr>
    <w:r>
      <w:rPr>
        <w:color w:val="2E6DA4"/>
        <w:sz w:val="16"/>
        <w:szCs w:val="16"/>
      </w:rPr>
      <w:t>www.medicaltracker.co.uk</w:t>
    </w:r>
    <w:r>
      <w:rPr>
        <w:color w:val="4A4A4A"/>
        <w:sz w:val="16"/>
        <w:szCs w:val="16"/>
      </w:rPr>
      <w:tab/>
      <w:t xml:space="preserve">Page </w:t>
    </w:r>
    <w:r>
      <w:rPr>
        <w:color w:val="4A4A4A"/>
        <w:sz w:val="16"/>
        <w:szCs w:val="16"/>
      </w:rPr>
      <w:fldChar w:fldCharType="begin"/>
    </w:r>
    <w:r>
      <w:rPr>
        <w:color w:val="4A4A4A"/>
        <w:sz w:val="16"/>
        <w:szCs w:val="16"/>
      </w:rPr>
      <w:instrText>PAGE</w:instrText>
    </w:r>
    <w:r>
      <w:rPr>
        <w:color w:val="4A4A4A"/>
        <w:sz w:val="16"/>
        <w:szCs w:val="16"/>
      </w:rPr>
      <w:fldChar w:fldCharType="separate"/>
    </w:r>
    <w:r w:rsidR="00FD2D58">
      <w:rPr>
        <w:noProof/>
        <w:color w:val="4A4A4A"/>
        <w:sz w:val="16"/>
        <w:szCs w:val="16"/>
      </w:rPr>
      <w:t>1</w:t>
    </w:r>
    <w:r>
      <w:rPr>
        <w:color w:val="4A4A4A"/>
        <w:sz w:val="16"/>
        <w:szCs w:val="16"/>
      </w:rPr>
      <w:fldChar w:fldCharType="end"/>
    </w:r>
    <w:r>
      <w:rPr>
        <w:color w:val="4A4A4A"/>
        <w:sz w:val="16"/>
        <w:szCs w:val="16"/>
      </w:rPr>
      <w:t xml:space="preserve"> of </w:t>
    </w:r>
    <w:r>
      <w:rPr>
        <w:color w:val="4A4A4A"/>
        <w:sz w:val="16"/>
        <w:szCs w:val="16"/>
      </w:rPr>
      <w:fldChar w:fldCharType="begin"/>
    </w:r>
    <w:r>
      <w:rPr>
        <w:color w:val="4A4A4A"/>
        <w:sz w:val="16"/>
        <w:szCs w:val="16"/>
      </w:rPr>
      <w:instrText>NUMPAGES</w:instrText>
    </w:r>
    <w:r>
      <w:rPr>
        <w:color w:val="4A4A4A"/>
        <w:sz w:val="16"/>
        <w:szCs w:val="16"/>
      </w:rPr>
      <w:fldChar w:fldCharType="separate"/>
    </w:r>
    <w:r w:rsidR="00FD2D58">
      <w:rPr>
        <w:noProof/>
        <w:color w:val="4A4A4A"/>
        <w:sz w:val="16"/>
        <w:szCs w:val="16"/>
      </w:rPr>
      <w:t>2</w:t>
    </w:r>
    <w:r>
      <w:rPr>
        <w:color w:val="4A4A4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8112" w14:textId="77777777" w:rsidR="00A945F3" w:rsidRDefault="00A945F3">
      <w:r>
        <w:separator/>
      </w:r>
    </w:p>
  </w:footnote>
  <w:footnote w:type="continuationSeparator" w:id="0">
    <w:p w14:paraId="409422A0" w14:textId="77777777" w:rsidR="00A945F3" w:rsidRDefault="00A9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A0D2" w14:textId="77777777" w:rsidR="00A16CCD" w:rsidRDefault="00000000">
    <w:pPr>
      <w:pBdr>
        <w:bottom w:val="single" w:sz="6" w:space="4" w:color="2E6DA4"/>
      </w:pBdr>
      <w:tabs>
        <w:tab w:val="right" w:pos="9026"/>
      </w:tabs>
      <w:spacing w:after="200"/>
    </w:pPr>
    <w:r>
      <w:rPr>
        <w:b/>
        <w:bCs/>
        <w:color w:val="1B3A6B"/>
        <w:sz w:val="18"/>
        <w:szCs w:val="18"/>
      </w:rPr>
      <w:t>MODEL DPIA</w:t>
    </w:r>
    <w:r>
      <w:rPr>
        <w:color w:val="4A4A4A"/>
        <w:sz w:val="16"/>
        <w:szCs w:val="16"/>
      </w:rPr>
      <w:tab/>
      <w:t>Conkaa Limited | Medical Tracker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84E"/>
    <w:multiLevelType w:val="hybridMultilevel"/>
    <w:tmpl w:val="C42C3E64"/>
    <w:lvl w:ilvl="0" w:tplc="E164746A">
      <w:start w:val="1"/>
      <w:numFmt w:val="bullet"/>
      <w:lvlText w:val="•"/>
      <w:lvlJc w:val="left"/>
      <w:pPr>
        <w:ind w:left="720" w:hanging="360"/>
      </w:pPr>
      <w:rPr>
        <w:rFonts w:ascii="Arial" w:eastAsia="Arial" w:hAnsi="Arial" w:cs="Arial"/>
        <w:sz w:val="20"/>
        <w:szCs w:val="20"/>
      </w:rPr>
    </w:lvl>
    <w:lvl w:ilvl="1" w:tplc="7E087BA8">
      <w:start w:val="1"/>
      <w:numFmt w:val="bullet"/>
      <w:lvlText w:val="◦"/>
      <w:lvlJc w:val="left"/>
      <w:pPr>
        <w:ind w:left="1080" w:hanging="360"/>
      </w:pPr>
      <w:rPr>
        <w:rFonts w:ascii="Arial" w:eastAsia="Arial" w:hAnsi="Arial" w:cs="Arial"/>
        <w:sz w:val="20"/>
        <w:szCs w:val="20"/>
      </w:rPr>
    </w:lvl>
    <w:lvl w:ilvl="2" w:tplc="444A3082">
      <w:numFmt w:val="decimal"/>
      <w:lvlText w:val=""/>
      <w:lvlJc w:val="left"/>
    </w:lvl>
    <w:lvl w:ilvl="3" w:tplc="537C35A8">
      <w:numFmt w:val="decimal"/>
      <w:lvlText w:val=""/>
      <w:lvlJc w:val="left"/>
    </w:lvl>
    <w:lvl w:ilvl="4" w:tplc="ED568040">
      <w:numFmt w:val="decimal"/>
      <w:lvlText w:val=""/>
      <w:lvlJc w:val="left"/>
    </w:lvl>
    <w:lvl w:ilvl="5" w:tplc="8982B092">
      <w:numFmt w:val="decimal"/>
      <w:lvlText w:val=""/>
      <w:lvlJc w:val="left"/>
    </w:lvl>
    <w:lvl w:ilvl="6" w:tplc="71AC46AC">
      <w:numFmt w:val="decimal"/>
      <w:lvlText w:val=""/>
      <w:lvlJc w:val="left"/>
    </w:lvl>
    <w:lvl w:ilvl="7" w:tplc="960CB65E">
      <w:numFmt w:val="decimal"/>
      <w:lvlText w:val=""/>
      <w:lvlJc w:val="left"/>
    </w:lvl>
    <w:lvl w:ilvl="8" w:tplc="D8943330">
      <w:numFmt w:val="decimal"/>
      <w:lvlText w:val=""/>
      <w:lvlJc w:val="left"/>
    </w:lvl>
  </w:abstractNum>
  <w:abstractNum w:abstractNumId="1" w15:restartNumberingAfterBreak="0">
    <w:nsid w:val="135C7126"/>
    <w:multiLevelType w:val="hybridMultilevel"/>
    <w:tmpl w:val="0DB2E79C"/>
    <w:lvl w:ilvl="0" w:tplc="FFCE09A6">
      <w:start w:val="1"/>
      <w:numFmt w:val="bullet"/>
      <w:lvlText w:val="●"/>
      <w:lvlJc w:val="left"/>
      <w:pPr>
        <w:ind w:left="720" w:hanging="360"/>
      </w:pPr>
    </w:lvl>
    <w:lvl w:ilvl="1" w:tplc="9FEEE792">
      <w:start w:val="1"/>
      <w:numFmt w:val="bullet"/>
      <w:lvlText w:val="○"/>
      <w:lvlJc w:val="left"/>
      <w:pPr>
        <w:ind w:left="1440" w:hanging="360"/>
      </w:pPr>
    </w:lvl>
    <w:lvl w:ilvl="2" w:tplc="92368E02">
      <w:start w:val="1"/>
      <w:numFmt w:val="bullet"/>
      <w:lvlText w:val="■"/>
      <w:lvlJc w:val="left"/>
      <w:pPr>
        <w:ind w:left="2160" w:hanging="360"/>
      </w:pPr>
    </w:lvl>
    <w:lvl w:ilvl="3" w:tplc="43F68D12">
      <w:start w:val="1"/>
      <w:numFmt w:val="bullet"/>
      <w:lvlText w:val="●"/>
      <w:lvlJc w:val="left"/>
      <w:pPr>
        <w:ind w:left="2880" w:hanging="360"/>
      </w:pPr>
    </w:lvl>
    <w:lvl w:ilvl="4" w:tplc="6D887B1A">
      <w:start w:val="1"/>
      <w:numFmt w:val="bullet"/>
      <w:lvlText w:val="○"/>
      <w:lvlJc w:val="left"/>
      <w:pPr>
        <w:ind w:left="3600" w:hanging="360"/>
      </w:pPr>
    </w:lvl>
    <w:lvl w:ilvl="5" w:tplc="036A6B78">
      <w:start w:val="1"/>
      <w:numFmt w:val="bullet"/>
      <w:lvlText w:val="■"/>
      <w:lvlJc w:val="left"/>
      <w:pPr>
        <w:ind w:left="4320" w:hanging="360"/>
      </w:pPr>
    </w:lvl>
    <w:lvl w:ilvl="6" w:tplc="405C8982">
      <w:start w:val="1"/>
      <w:numFmt w:val="bullet"/>
      <w:lvlText w:val="●"/>
      <w:lvlJc w:val="left"/>
      <w:pPr>
        <w:ind w:left="5040" w:hanging="360"/>
      </w:pPr>
    </w:lvl>
    <w:lvl w:ilvl="7" w:tplc="DF1CDAE4">
      <w:start w:val="1"/>
      <w:numFmt w:val="bullet"/>
      <w:lvlText w:val="●"/>
      <w:lvlJc w:val="left"/>
      <w:pPr>
        <w:ind w:left="5760" w:hanging="360"/>
      </w:pPr>
    </w:lvl>
    <w:lvl w:ilvl="8" w:tplc="0A0CDF00">
      <w:start w:val="1"/>
      <w:numFmt w:val="bullet"/>
      <w:lvlText w:val="●"/>
      <w:lvlJc w:val="left"/>
      <w:pPr>
        <w:ind w:left="6480" w:hanging="360"/>
      </w:pPr>
    </w:lvl>
  </w:abstractNum>
  <w:num w:numId="1" w16cid:durableId="709766280">
    <w:abstractNumId w:val="1"/>
    <w:lvlOverride w:ilvl="0">
      <w:startOverride w:val="1"/>
    </w:lvlOverride>
  </w:num>
  <w:num w:numId="2" w16cid:durableId="17577020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D"/>
    <w:rsid w:val="001E02FD"/>
    <w:rsid w:val="00A16CCD"/>
    <w:rsid w:val="00A945F3"/>
    <w:rsid w:val="00FD2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79DD8C"/>
  <w15:docId w15:val="{B2A428FE-7E62-C74E-8ACE-07DE9587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3A6B"/>
      <w:sz w:val="28"/>
      <w:szCs w:val="28"/>
    </w:rPr>
  </w:style>
  <w:style w:type="paragraph" w:styleId="Heading2">
    <w:name w:val="heading 2"/>
    <w:uiPriority w:val="9"/>
    <w:unhideWhenUsed/>
    <w:qFormat/>
    <w:pPr>
      <w:spacing w:before="300" w:after="120"/>
      <w:outlineLvl w:val="1"/>
    </w:pPr>
    <w:rPr>
      <w:b/>
      <w:bCs/>
      <w:color w:val="2E6DA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edicaltracker.co.uk/compliance/sub-process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caltracker.co.uk/getting-started-with-medical-track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elp.medicaltracker.co.uk/en/how-to-export-data-from-medical-tracker-to-a-.csv-or-excel-document" TargetMode="External"/><Relationship Id="rId4" Type="http://schemas.openxmlformats.org/officeDocument/2006/relationships/webSettings" Target="webSettings.xml"/><Relationship Id="rId9" Type="http://schemas.openxmlformats.org/officeDocument/2006/relationships/hyperlink" Target="https://www.medicaltracker.co.uk/compliance/data-backup-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3129</Words>
  <Characters>17589</Characters>
  <Application>Microsoft Office Word</Application>
  <DocSecurity>0</DocSecurity>
  <Lines>651</Lines>
  <Paragraphs>398</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Katie Venditti</cp:lastModifiedBy>
  <cp:revision>2</cp:revision>
  <dcterms:created xsi:type="dcterms:W3CDTF">2026-06-02T09:00:00Z</dcterms:created>
  <dcterms:modified xsi:type="dcterms:W3CDTF">2026-06-02T09:00:00Z</dcterms:modified>
</cp:coreProperties>
</file>